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68B986EA"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571B40">
        <w:rPr>
          <w:b/>
          <w:sz w:val="52"/>
          <w:szCs w:val="52"/>
        </w:rPr>
        <w:t>Latvia</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6F03998F"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82607F">
        <w:rPr>
          <w:rFonts w:ascii="Calibri" w:hAnsi="Calibri"/>
          <w:sz w:val="32"/>
          <w:szCs w:val="32"/>
          <w:lang w:val="en-GB"/>
        </w:rPr>
        <w:t xml:space="preserve"> </w:t>
      </w:r>
      <w:r w:rsidR="00571B40" w:rsidRPr="00571B40">
        <w:rPr>
          <w:rFonts w:ascii="Calibri" w:hAnsi="Calibri"/>
          <w:sz w:val="32"/>
          <w:szCs w:val="32"/>
          <w:lang w:val="en-GB"/>
        </w:rPr>
        <w:t>Helen Hardman and Alan Renwick</w:t>
      </w:r>
    </w:p>
    <w:p w14:paraId="7D1F2E30" w14:textId="596D075F" w:rsidR="00D04FA7" w:rsidRPr="00E34F32" w:rsidRDefault="00D04FA7" w:rsidP="00D04FA7">
      <w:pPr>
        <w:pStyle w:val="TitleCentred"/>
        <w:rPr>
          <w:rFonts w:ascii="Calibri" w:hAnsi="Calibri"/>
          <w:sz w:val="32"/>
          <w:szCs w:val="32"/>
          <w:lang w:val="en-GB"/>
        </w:rPr>
      </w:pPr>
      <w:r w:rsidRPr="00AA6E17">
        <w:rPr>
          <w:rFonts w:ascii="Calibri" w:hAnsi="Calibri"/>
          <w:sz w:val="32"/>
          <w:szCs w:val="32"/>
          <w:lang w:val="en-GB"/>
        </w:rPr>
        <w:t>Compiled with the assistance of:</w:t>
      </w:r>
      <w:r w:rsidR="0082607F" w:rsidRPr="0082607F">
        <w:t xml:space="preserve">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7EF49A30" w:rsidR="00F56A77" w:rsidRDefault="002F2C79" w:rsidP="00F56A77">
      <w:pPr>
        <w:pStyle w:val="Heading1"/>
        <w:rPr>
          <w:rFonts w:ascii="Calibri" w:hAnsi="Calibri"/>
          <w:sz w:val="28"/>
          <w:szCs w:val="28"/>
          <w:lang w:val="en-GB"/>
        </w:rPr>
      </w:pPr>
      <w:bookmarkStart w:id="0"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571B40">
        <w:rPr>
          <w:rFonts w:ascii="Calibri" w:hAnsi="Calibri"/>
          <w:sz w:val="28"/>
          <w:szCs w:val="28"/>
          <w:lang w:val="en-GB"/>
        </w:rPr>
        <w:t>Latvian</w:t>
      </w:r>
      <w:r w:rsidR="004B7E51">
        <w:rPr>
          <w:rFonts w:ascii="Calibri" w:hAnsi="Calibri"/>
          <w:sz w:val="28"/>
          <w:szCs w:val="28"/>
          <w:lang w:val="en-GB"/>
        </w:rPr>
        <w:t xml:space="preserve"> </w:t>
      </w:r>
      <w:r w:rsidR="00F56A77" w:rsidRPr="00E34F32">
        <w:rPr>
          <w:rFonts w:ascii="Calibri" w:hAnsi="Calibri"/>
          <w:sz w:val="28"/>
          <w:szCs w:val="28"/>
          <w:lang w:val="en-GB"/>
        </w:rPr>
        <w:t>Electoral System Changes since 19</w:t>
      </w:r>
      <w:bookmarkEnd w:id="0"/>
      <w:r w:rsidR="004E747F">
        <w:rPr>
          <w:rFonts w:ascii="Calibri" w:hAnsi="Calibri"/>
          <w:sz w:val="28"/>
          <w:szCs w:val="28"/>
          <w:lang w:val="en-GB"/>
        </w:rPr>
        <w:t>88</w:t>
      </w:r>
    </w:p>
    <w:p w14:paraId="234AE50A" w14:textId="62EF09B2" w:rsidR="00405DCF" w:rsidRPr="00405DCF" w:rsidRDefault="00571B40" w:rsidP="00405DCF">
      <w:pPr>
        <w:spacing w:after="0" w:line="240" w:lineRule="auto"/>
        <w:jc w:val="both"/>
        <w:rPr>
          <w:rFonts w:eastAsia="Calibri"/>
          <w:sz w:val="22"/>
          <w:szCs w:val="22"/>
          <w:lang w:val="en-GB"/>
        </w:rPr>
      </w:pPr>
      <w:r w:rsidRPr="00571B40">
        <w:rPr>
          <w:rFonts w:eastAsia="Times New Roman"/>
          <w:sz w:val="22"/>
          <w:szCs w:val="22"/>
          <w:lang w:val="en-GB" w:eastAsia="sk-SK"/>
        </w:rPr>
        <w:t xml:space="preserve">In December 1988, the Communist Party of the Soviet Union radically amended the Soviet Union’s electoral laws, introducing some competition into elections and holding what have been interpreted as the first semi-contested elections in the Soviet Union, to the Union-wide Congress of People’s Deputies, in 1989. </w:t>
      </w:r>
      <w:r w:rsidRPr="00571B40">
        <w:rPr>
          <w:rFonts w:eastAsia="Calibri"/>
          <w:sz w:val="22"/>
          <w:szCs w:val="22"/>
          <w:lang w:val="en-GB"/>
        </w:rPr>
        <w:t>Following the unsuccessful August Coup in Moscow in 1991, Latvia declared its independence from the Soviet Union and a year later adopted a new law in October 1992,</w:t>
      </w:r>
      <w:r w:rsidR="00405DCF">
        <w:rPr>
          <w:rFonts w:eastAsia="Calibri"/>
          <w:sz w:val="22"/>
          <w:szCs w:val="22"/>
          <w:lang w:val="en-GB"/>
        </w:rPr>
        <w:t xml:space="preserve"> establishing an open-list PR electoral system, </w:t>
      </w:r>
      <w:r w:rsidRPr="00571B40">
        <w:rPr>
          <w:rFonts w:eastAsia="Calibri"/>
          <w:sz w:val="22"/>
          <w:szCs w:val="22"/>
          <w:lang w:val="en-GB"/>
        </w:rPr>
        <w:t>based on the law in force at the time of 1922.</w:t>
      </w:r>
      <w:r w:rsidRPr="00571B40">
        <w:rPr>
          <w:rFonts w:eastAsia="Calibri"/>
          <w:sz w:val="22"/>
          <w:szCs w:val="22"/>
          <w:vertAlign w:val="superscript"/>
          <w:lang w:val="en-GB"/>
        </w:rPr>
        <w:footnoteReference w:id="1"/>
      </w:r>
      <w:r w:rsidRPr="00571B40">
        <w:rPr>
          <w:rFonts w:eastAsia="Calibri"/>
          <w:sz w:val="22"/>
          <w:szCs w:val="22"/>
          <w:lang w:val="en-GB"/>
        </w:rPr>
        <w:t xml:space="preserve"> </w:t>
      </w:r>
      <w:r w:rsidR="00405DCF" w:rsidRPr="00405DCF">
        <w:rPr>
          <w:rFonts w:eastAsia="Calibri"/>
          <w:sz w:val="22"/>
          <w:szCs w:val="22"/>
          <w:lang w:val="en-GB"/>
        </w:rPr>
        <w:t xml:space="preserve">Since the introduction of the 1992 law, there have been no substantial changes to the Latvian electoral system (Mikkel &amp; Pettai 2004, 339). Although a new law was introduced in 1995, and there have been a number of amendments to this law since then, these amendments relate more to the administration of </w:t>
      </w:r>
      <w:r w:rsidR="00EB3C76">
        <w:rPr>
          <w:rFonts w:eastAsia="Calibri"/>
          <w:sz w:val="22"/>
          <w:szCs w:val="22"/>
          <w:lang w:val="en-GB"/>
        </w:rPr>
        <w:t>elections than to the system itself</w:t>
      </w:r>
      <w:r w:rsidR="00405DCF" w:rsidRPr="00405DCF">
        <w:rPr>
          <w:rFonts w:eastAsia="Calibri"/>
          <w:sz w:val="22"/>
          <w:szCs w:val="22"/>
          <w:lang w:val="en-GB"/>
        </w:rPr>
        <w:t xml:space="preserve">. While the </w:t>
      </w:r>
      <w:r w:rsidR="00EB3C76">
        <w:rPr>
          <w:rFonts w:eastAsia="Calibri"/>
          <w:sz w:val="22"/>
          <w:szCs w:val="22"/>
          <w:lang w:val="en-GB"/>
        </w:rPr>
        <w:t xml:space="preserve">Latvian electoral </w:t>
      </w:r>
      <w:r w:rsidR="00405DCF" w:rsidRPr="00405DCF">
        <w:rPr>
          <w:rFonts w:eastAsia="Calibri"/>
          <w:sz w:val="22"/>
          <w:szCs w:val="22"/>
          <w:lang w:val="en-GB"/>
        </w:rPr>
        <w:t>system has</w:t>
      </w:r>
      <w:r w:rsidR="00EB3C76">
        <w:rPr>
          <w:rFonts w:eastAsia="Calibri"/>
          <w:sz w:val="22"/>
          <w:szCs w:val="22"/>
          <w:lang w:val="en-GB"/>
        </w:rPr>
        <w:t xml:space="preserve"> thus</w:t>
      </w:r>
      <w:r w:rsidR="00405DCF" w:rsidRPr="00405DCF">
        <w:rPr>
          <w:rFonts w:eastAsia="Calibri"/>
          <w:sz w:val="22"/>
          <w:szCs w:val="22"/>
          <w:lang w:val="en-GB"/>
        </w:rPr>
        <w:t xml:space="preserve"> remained in essence unchanged, the rules regarding who may participate in elections have been a matter for considerable debate</w:t>
      </w:r>
      <w:r w:rsidR="00EB3C76">
        <w:rPr>
          <w:rFonts w:eastAsia="Calibri"/>
          <w:sz w:val="22"/>
          <w:szCs w:val="22"/>
          <w:lang w:val="en-GB"/>
        </w:rPr>
        <w:t xml:space="preserve"> in Latvia</w:t>
      </w:r>
      <w:r w:rsidR="00405DCF" w:rsidRPr="00405DCF">
        <w:rPr>
          <w:rFonts w:eastAsia="Calibri"/>
          <w:sz w:val="22"/>
          <w:szCs w:val="22"/>
          <w:lang w:val="en-GB"/>
        </w:rPr>
        <w:t xml:space="preserve">. The instability of the Latvian </w:t>
      </w:r>
      <w:r w:rsidR="00EB3C76">
        <w:rPr>
          <w:rFonts w:eastAsia="Calibri"/>
          <w:sz w:val="22"/>
          <w:szCs w:val="22"/>
          <w:lang w:val="en-GB"/>
        </w:rPr>
        <w:t>g</w:t>
      </w:r>
      <w:r w:rsidR="00405DCF" w:rsidRPr="00405DCF">
        <w:rPr>
          <w:rFonts w:eastAsia="Calibri"/>
          <w:sz w:val="22"/>
          <w:szCs w:val="22"/>
          <w:lang w:val="en-GB"/>
        </w:rPr>
        <w:t>overnment since 1992 may give rise to future more substantive electoral reform (Mikkel and Pettai, 2004).</w:t>
      </w:r>
    </w:p>
    <w:p w14:paraId="0B417AF7" w14:textId="77777777" w:rsidR="00405DCF" w:rsidRPr="00405DCF" w:rsidRDefault="00405DCF" w:rsidP="00405DCF">
      <w:pPr>
        <w:spacing w:after="0" w:line="240" w:lineRule="auto"/>
        <w:jc w:val="both"/>
        <w:rPr>
          <w:rFonts w:eastAsia="Calibri"/>
          <w:sz w:val="22"/>
          <w:szCs w:val="22"/>
          <w:lang w:val="en-GB"/>
        </w:rPr>
      </w:pPr>
    </w:p>
    <w:p w14:paraId="20143A48" w14:textId="77777777" w:rsidR="00571B40" w:rsidRPr="00571B40" w:rsidRDefault="00571B40" w:rsidP="00571B40">
      <w:pPr>
        <w:spacing w:after="0" w:line="240" w:lineRule="auto"/>
        <w:jc w:val="both"/>
        <w:rPr>
          <w:rFonts w:eastAsia="Calibri"/>
          <w:sz w:val="22"/>
          <w:szCs w:val="22"/>
          <w:lang w:val="en-GB"/>
        </w:rPr>
      </w:pPr>
    </w:p>
    <w:p w14:paraId="430C8E0F" w14:textId="77777777" w:rsidR="00571B40" w:rsidRPr="00571B40" w:rsidRDefault="00571B40" w:rsidP="00571B40">
      <w:pPr>
        <w:spacing w:after="0" w:line="240" w:lineRule="auto"/>
        <w:jc w:val="both"/>
        <w:rPr>
          <w:rFonts w:eastAsia="Times New Roman"/>
          <w:sz w:val="22"/>
          <w:szCs w:val="22"/>
          <w:lang w:val="en-GB" w:eastAsia="sk-SK"/>
        </w:rPr>
      </w:pPr>
    </w:p>
    <w:p w14:paraId="2095B98C" w14:textId="77777777" w:rsidR="00571B40" w:rsidRDefault="00571B40" w:rsidP="007614A7">
      <w:pPr>
        <w:pStyle w:val="NoSpacing"/>
        <w:spacing w:line="23" w:lineRule="atLeast"/>
        <w:jc w:val="both"/>
        <w:rPr>
          <w:b/>
          <w:sz w:val="28"/>
          <w:szCs w:val="28"/>
          <w:lang w:val="en-US"/>
        </w:rPr>
      </w:pPr>
    </w:p>
    <w:p w14:paraId="2AFBF432" w14:textId="77777777" w:rsidR="00571B40" w:rsidRDefault="00571B40" w:rsidP="007614A7">
      <w:pPr>
        <w:pStyle w:val="NoSpacing"/>
        <w:spacing w:line="23" w:lineRule="atLeast"/>
        <w:jc w:val="both"/>
        <w:rPr>
          <w:b/>
          <w:sz w:val="28"/>
          <w:szCs w:val="28"/>
          <w:lang w:val="en-US"/>
        </w:rPr>
      </w:pPr>
    </w:p>
    <w:p w14:paraId="1ED3EED1" w14:textId="77777777" w:rsidR="00571B40" w:rsidRDefault="00571B40" w:rsidP="007614A7">
      <w:pPr>
        <w:pStyle w:val="NoSpacing"/>
        <w:spacing w:line="23" w:lineRule="atLeast"/>
        <w:jc w:val="both"/>
        <w:rPr>
          <w:b/>
          <w:sz w:val="28"/>
          <w:szCs w:val="28"/>
          <w:lang w:val="en-US"/>
        </w:rPr>
      </w:pPr>
    </w:p>
    <w:p w14:paraId="437D9ACC" w14:textId="77777777" w:rsidR="00571B40" w:rsidRDefault="00571B40" w:rsidP="007614A7">
      <w:pPr>
        <w:pStyle w:val="NoSpacing"/>
        <w:spacing w:line="23" w:lineRule="atLeast"/>
        <w:jc w:val="both"/>
        <w:rPr>
          <w:b/>
          <w:sz w:val="28"/>
          <w:szCs w:val="28"/>
          <w:lang w:val="en-US"/>
        </w:rPr>
      </w:pPr>
    </w:p>
    <w:p w14:paraId="44A859E7" w14:textId="77777777" w:rsidR="00571B40" w:rsidRDefault="00571B40" w:rsidP="007614A7">
      <w:pPr>
        <w:pStyle w:val="NoSpacing"/>
        <w:spacing w:line="23" w:lineRule="atLeast"/>
        <w:jc w:val="both"/>
        <w:rPr>
          <w:b/>
          <w:sz w:val="28"/>
          <w:szCs w:val="28"/>
          <w:lang w:val="en-US"/>
        </w:rPr>
      </w:pPr>
    </w:p>
    <w:p w14:paraId="098DCBF0" w14:textId="77777777" w:rsidR="00571B40" w:rsidRDefault="00571B40" w:rsidP="007614A7">
      <w:pPr>
        <w:pStyle w:val="NoSpacing"/>
        <w:spacing w:line="23" w:lineRule="atLeast"/>
        <w:jc w:val="both"/>
        <w:rPr>
          <w:b/>
          <w:sz w:val="28"/>
          <w:szCs w:val="28"/>
          <w:lang w:val="en-US"/>
        </w:rPr>
      </w:pPr>
    </w:p>
    <w:p w14:paraId="1FD56193" w14:textId="77777777" w:rsidR="00571B40" w:rsidRDefault="00571B40" w:rsidP="007614A7">
      <w:pPr>
        <w:pStyle w:val="NoSpacing"/>
        <w:spacing w:line="23" w:lineRule="atLeast"/>
        <w:jc w:val="both"/>
        <w:rPr>
          <w:b/>
          <w:sz w:val="28"/>
          <w:szCs w:val="28"/>
          <w:lang w:val="en-US"/>
        </w:rPr>
      </w:pPr>
    </w:p>
    <w:p w14:paraId="580CFE65" w14:textId="77777777" w:rsidR="00571B40" w:rsidRDefault="00571B40" w:rsidP="007614A7">
      <w:pPr>
        <w:pStyle w:val="NoSpacing"/>
        <w:spacing w:line="23" w:lineRule="atLeast"/>
        <w:jc w:val="both"/>
        <w:rPr>
          <w:b/>
          <w:sz w:val="28"/>
          <w:szCs w:val="28"/>
          <w:lang w:val="en-US"/>
        </w:rPr>
      </w:pPr>
    </w:p>
    <w:p w14:paraId="0588592A" w14:textId="77777777" w:rsidR="00571B40" w:rsidRDefault="00571B40" w:rsidP="007614A7">
      <w:pPr>
        <w:pStyle w:val="NoSpacing"/>
        <w:spacing w:line="23" w:lineRule="atLeast"/>
        <w:jc w:val="both"/>
        <w:rPr>
          <w:b/>
          <w:sz w:val="28"/>
          <w:szCs w:val="28"/>
          <w:lang w:val="en-US"/>
        </w:rPr>
      </w:pPr>
    </w:p>
    <w:p w14:paraId="5AD14605" w14:textId="77777777" w:rsidR="00571B40" w:rsidRDefault="00571B40" w:rsidP="007614A7">
      <w:pPr>
        <w:pStyle w:val="NoSpacing"/>
        <w:spacing w:line="23" w:lineRule="atLeast"/>
        <w:jc w:val="both"/>
        <w:rPr>
          <w:b/>
          <w:sz w:val="28"/>
          <w:szCs w:val="28"/>
          <w:lang w:val="en-US"/>
        </w:rPr>
      </w:pPr>
    </w:p>
    <w:p w14:paraId="29781CA3" w14:textId="77777777" w:rsidR="00571B40" w:rsidRDefault="00571B40" w:rsidP="007614A7">
      <w:pPr>
        <w:pStyle w:val="NoSpacing"/>
        <w:spacing w:line="23" w:lineRule="atLeast"/>
        <w:jc w:val="both"/>
        <w:rPr>
          <w:b/>
          <w:sz w:val="28"/>
          <w:szCs w:val="28"/>
          <w:lang w:val="en-US"/>
        </w:rPr>
      </w:pPr>
    </w:p>
    <w:p w14:paraId="7FEF657D" w14:textId="77777777" w:rsidR="00571B40" w:rsidRDefault="00571B40" w:rsidP="007614A7">
      <w:pPr>
        <w:pStyle w:val="NoSpacing"/>
        <w:spacing w:line="23" w:lineRule="atLeast"/>
        <w:jc w:val="both"/>
        <w:rPr>
          <w:b/>
          <w:sz w:val="28"/>
          <w:szCs w:val="28"/>
          <w:lang w:val="en-US"/>
        </w:rPr>
      </w:pPr>
    </w:p>
    <w:p w14:paraId="1E15692B" w14:textId="77777777" w:rsidR="00571B40" w:rsidRDefault="00571B40" w:rsidP="007614A7">
      <w:pPr>
        <w:pStyle w:val="NoSpacing"/>
        <w:spacing w:line="23" w:lineRule="atLeast"/>
        <w:jc w:val="both"/>
        <w:rPr>
          <w:b/>
          <w:sz w:val="28"/>
          <w:szCs w:val="28"/>
          <w:lang w:val="en-US"/>
        </w:rPr>
      </w:pPr>
    </w:p>
    <w:p w14:paraId="36705ABB" w14:textId="77777777" w:rsidR="00571B40" w:rsidRDefault="00571B40" w:rsidP="007614A7">
      <w:pPr>
        <w:pStyle w:val="NoSpacing"/>
        <w:spacing w:line="23" w:lineRule="atLeast"/>
        <w:jc w:val="both"/>
        <w:rPr>
          <w:b/>
          <w:sz w:val="28"/>
          <w:szCs w:val="28"/>
          <w:lang w:val="en-US"/>
        </w:rPr>
      </w:pPr>
    </w:p>
    <w:p w14:paraId="0F55960C" w14:textId="77777777" w:rsidR="00571B40" w:rsidRDefault="00571B40" w:rsidP="007614A7">
      <w:pPr>
        <w:pStyle w:val="NoSpacing"/>
        <w:spacing w:line="23" w:lineRule="atLeast"/>
        <w:jc w:val="both"/>
        <w:rPr>
          <w:b/>
          <w:sz w:val="28"/>
          <w:szCs w:val="28"/>
          <w:lang w:val="en-US"/>
        </w:rPr>
      </w:pPr>
    </w:p>
    <w:p w14:paraId="616A033A" w14:textId="77777777" w:rsidR="00571B40" w:rsidRDefault="00571B40" w:rsidP="007614A7">
      <w:pPr>
        <w:pStyle w:val="NoSpacing"/>
        <w:spacing w:line="23" w:lineRule="atLeast"/>
        <w:jc w:val="both"/>
        <w:rPr>
          <w:b/>
          <w:sz w:val="28"/>
          <w:szCs w:val="28"/>
          <w:lang w:val="en-US"/>
        </w:rPr>
      </w:pPr>
    </w:p>
    <w:p w14:paraId="3B0AC31A" w14:textId="77777777" w:rsidR="00571B40" w:rsidRDefault="00571B40" w:rsidP="007614A7">
      <w:pPr>
        <w:pStyle w:val="NoSpacing"/>
        <w:spacing w:line="23" w:lineRule="atLeast"/>
        <w:jc w:val="both"/>
        <w:rPr>
          <w:b/>
          <w:sz w:val="28"/>
          <w:szCs w:val="28"/>
          <w:lang w:val="en-US"/>
        </w:rPr>
      </w:pPr>
    </w:p>
    <w:p w14:paraId="26EBA007" w14:textId="77777777" w:rsidR="00571B40" w:rsidRDefault="00571B40" w:rsidP="007614A7">
      <w:pPr>
        <w:pStyle w:val="NoSpacing"/>
        <w:spacing w:line="23" w:lineRule="atLeast"/>
        <w:jc w:val="both"/>
        <w:rPr>
          <w:b/>
          <w:sz w:val="28"/>
          <w:szCs w:val="28"/>
          <w:lang w:val="en-US"/>
        </w:rPr>
      </w:pPr>
    </w:p>
    <w:p w14:paraId="3866EF61" w14:textId="77777777" w:rsidR="00571B40" w:rsidRDefault="00571B40" w:rsidP="007614A7">
      <w:pPr>
        <w:pStyle w:val="NoSpacing"/>
        <w:spacing w:line="23" w:lineRule="atLeast"/>
        <w:jc w:val="both"/>
        <w:rPr>
          <w:b/>
          <w:sz w:val="28"/>
          <w:szCs w:val="28"/>
          <w:lang w:val="en-US"/>
        </w:rPr>
      </w:pPr>
    </w:p>
    <w:p w14:paraId="3129466E" w14:textId="77777777" w:rsidR="00405DCF" w:rsidRDefault="00405DCF" w:rsidP="007614A7">
      <w:pPr>
        <w:pStyle w:val="NoSpacing"/>
        <w:spacing w:line="23" w:lineRule="atLeast"/>
        <w:jc w:val="both"/>
        <w:rPr>
          <w:b/>
          <w:sz w:val="28"/>
          <w:szCs w:val="28"/>
          <w:lang w:val="en-US"/>
        </w:rPr>
      </w:pPr>
    </w:p>
    <w:p w14:paraId="2F21D592" w14:textId="5F949EA4" w:rsidR="00664A93" w:rsidRDefault="00E073DF" w:rsidP="007614A7">
      <w:pPr>
        <w:pStyle w:val="NoSpacing"/>
        <w:spacing w:line="23" w:lineRule="atLeast"/>
        <w:jc w:val="both"/>
        <w:rPr>
          <w:b/>
          <w:sz w:val="28"/>
          <w:szCs w:val="28"/>
          <w:lang w:val="en-US"/>
        </w:rPr>
      </w:pPr>
      <w:r w:rsidRPr="00E34F32">
        <w:rPr>
          <w:b/>
          <w:sz w:val="28"/>
          <w:szCs w:val="28"/>
          <w:lang w:val="en-US"/>
        </w:rPr>
        <w:lastRenderedPageBreak/>
        <w:t xml:space="preserve">Section 2: Relevant Electoral System changes in </w:t>
      </w:r>
      <w:r w:rsidR="00571B40">
        <w:rPr>
          <w:b/>
          <w:sz w:val="28"/>
          <w:szCs w:val="28"/>
          <w:lang w:val="en-US"/>
        </w:rPr>
        <w:t>Latvia</w:t>
      </w:r>
      <w:r w:rsidRPr="00E34F32">
        <w:rPr>
          <w:b/>
          <w:sz w:val="28"/>
          <w:szCs w:val="28"/>
          <w:lang w:val="en-US"/>
        </w:rPr>
        <w:t xml:space="preserve"> since 1945</w:t>
      </w:r>
    </w:p>
    <w:p w14:paraId="6F718656" w14:textId="77777777" w:rsidR="00571B40" w:rsidRDefault="00571B40" w:rsidP="007614A7">
      <w:pPr>
        <w:pStyle w:val="NoSpacing"/>
        <w:spacing w:line="23" w:lineRule="atLeast"/>
        <w:jc w:val="both"/>
        <w:rPr>
          <w:b/>
          <w:sz w:val="28"/>
          <w:szCs w:val="28"/>
          <w:lang w:val="en-US"/>
        </w:rPr>
      </w:pPr>
    </w:p>
    <w:p w14:paraId="4D14C5B2" w14:textId="77777777" w:rsidR="00571B40" w:rsidRPr="00571B40" w:rsidRDefault="00571B40" w:rsidP="00571B40">
      <w:pPr>
        <w:spacing w:after="0" w:line="240" w:lineRule="auto"/>
        <w:jc w:val="both"/>
        <w:rPr>
          <w:rFonts w:eastAsia="Times New Roman"/>
          <w:sz w:val="22"/>
          <w:szCs w:val="22"/>
          <w:lang w:val="en-GB" w:eastAsia="sk-SK"/>
        </w:rPr>
      </w:pPr>
      <w:r w:rsidRPr="00571B40">
        <w:rPr>
          <w:rFonts w:eastAsia="Times New Roman"/>
          <w:sz w:val="22"/>
          <w:szCs w:val="22"/>
          <w:lang w:val="en-GB" w:eastAsia="sk-SK"/>
        </w:rPr>
        <w:t>The following table summarises electoral laws that have been introduced and their amendments since 1990. The data in the rightmost column indicates whether or not these laws are relevant to the present research.</w:t>
      </w:r>
    </w:p>
    <w:p w14:paraId="713B8EE5" w14:textId="77777777" w:rsidR="00571B40" w:rsidRDefault="00571B40" w:rsidP="007614A7">
      <w:pPr>
        <w:pStyle w:val="NoSpacing"/>
        <w:spacing w:line="23" w:lineRule="atLeast"/>
        <w:jc w:val="both"/>
        <w:rPr>
          <w:b/>
          <w:sz w:val="28"/>
          <w:szCs w:val="28"/>
        </w:rPr>
      </w:pPr>
    </w:p>
    <w:p w14:paraId="2088ED26" w14:textId="2BD4E612"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571B40">
        <w:rPr>
          <w:b/>
        </w:rPr>
        <w:t>Latvian</w:t>
      </w:r>
      <w:r w:rsidRPr="009A0317">
        <w:rPr>
          <w:b/>
        </w:rPr>
        <w:t xml:space="preserve"> Electoral Laws and Amendments since 1945</w:t>
      </w:r>
      <w:r w:rsidR="004B7E51">
        <w:rPr>
          <w:b/>
        </w:rPr>
        <w:t xml:space="preserve"> – relevant to this project</w:t>
      </w:r>
    </w:p>
    <w:tbl>
      <w:tblPr>
        <w:tblW w:w="10632" w:type="dxa"/>
        <w:tblInd w:w="-74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82"/>
        <w:gridCol w:w="3431"/>
        <w:gridCol w:w="1357"/>
        <w:gridCol w:w="2346"/>
        <w:gridCol w:w="1116"/>
      </w:tblGrid>
      <w:tr w:rsidR="00571B40" w:rsidRPr="00571B40" w14:paraId="1E844342" w14:textId="77777777" w:rsidTr="00571B40">
        <w:tc>
          <w:tcPr>
            <w:tcW w:w="2382" w:type="dxa"/>
            <w:tcBorders>
              <w:bottom w:val="single" w:sz="4" w:space="0" w:color="auto"/>
            </w:tcBorders>
          </w:tcPr>
          <w:p w14:paraId="3DFA61F9" w14:textId="77777777" w:rsidR="00571B40" w:rsidRPr="00571B40" w:rsidRDefault="00571B40" w:rsidP="00571B40">
            <w:pPr>
              <w:pStyle w:val="NoSpacing"/>
              <w:jc w:val="center"/>
              <w:rPr>
                <w:b/>
              </w:rPr>
            </w:pPr>
          </w:p>
          <w:p w14:paraId="498D68A5" w14:textId="77777777" w:rsidR="00571B40" w:rsidRPr="00571B40" w:rsidRDefault="00571B40" w:rsidP="00571B40">
            <w:pPr>
              <w:pStyle w:val="NoSpacing"/>
              <w:jc w:val="center"/>
              <w:rPr>
                <w:b/>
              </w:rPr>
            </w:pPr>
            <w:r w:rsidRPr="00571B40">
              <w:rPr>
                <w:b/>
              </w:rPr>
              <w:t>Law</w:t>
            </w:r>
          </w:p>
        </w:tc>
        <w:tc>
          <w:tcPr>
            <w:tcW w:w="3431" w:type="dxa"/>
            <w:tcBorders>
              <w:bottom w:val="single" w:sz="4" w:space="0" w:color="auto"/>
            </w:tcBorders>
          </w:tcPr>
          <w:p w14:paraId="50F45DF4" w14:textId="77777777" w:rsidR="00571B40" w:rsidRPr="00571B40" w:rsidRDefault="00571B40" w:rsidP="00571B40">
            <w:pPr>
              <w:pStyle w:val="NoSpacing"/>
              <w:jc w:val="center"/>
              <w:rPr>
                <w:b/>
              </w:rPr>
            </w:pPr>
          </w:p>
          <w:p w14:paraId="49C53594" w14:textId="77777777" w:rsidR="00571B40" w:rsidRPr="00571B40" w:rsidRDefault="00571B40" w:rsidP="00571B40">
            <w:pPr>
              <w:pStyle w:val="NoSpacing"/>
              <w:jc w:val="center"/>
              <w:rPr>
                <w:b/>
              </w:rPr>
            </w:pPr>
            <w:r w:rsidRPr="00571B40">
              <w:rPr>
                <w:b/>
              </w:rPr>
              <w:t>Amendment</w:t>
            </w:r>
          </w:p>
        </w:tc>
        <w:tc>
          <w:tcPr>
            <w:tcW w:w="1357" w:type="dxa"/>
            <w:tcBorders>
              <w:bottom w:val="single" w:sz="4" w:space="0" w:color="auto"/>
            </w:tcBorders>
          </w:tcPr>
          <w:p w14:paraId="2DA543BC" w14:textId="77777777" w:rsidR="00571B40" w:rsidRPr="00571B40" w:rsidRDefault="00571B40" w:rsidP="00571B40">
            <w:pPr>
              <w:pStyle w:val="NoSpacing"/>
              <w:jc w:val="center"/>
              <w:rPr>
                <w:b/>
              </w:rPr>
            </w:pPr>
            <w:r w:rsidRPr="00571B40">
              <w:rPr>
                <w:b/>
              </w:rPr>
              <w:t>Date of enactment</w:t>
            </w:r>
          </w:p>
        </w:tc>
        <w:tc>
          <w:tcPr>
            <w:tcW w:w="2346" w:type="dxa"/>
            <w:tcBorders>
              <w:bottom w:val="single" w:sz="4" w:space="0" w:color="auto"/>
            </w:tcBorders>
          </w:tcPr>
          <w:p w14:paraId="38245C63" w14:textId="77777777" w:rsidR="00571B40" w:rsidRPr="00571B40" w:rsidRDefault="00571B40" w:rsidP="00571B40">
            <w:pPr>
              <w:pStyle w:val="NoSpacing"/>
              <w:jc w:val="center"/>
              <w:rPr>
                <w:b/>
              </w:rPr>
            </w:pPr>
          </w:p>
          <w:p w14:paraId="65F91AAE" w14:textId="77777777" w:rsidR="00571B40" w:rsidRPr="00571B40" w:rsidRDefault="00571B40" w:rsidP="00571B40">
            <w:pPr>
              <w:pStyle w:val="NoSpacing"/>
              <w:jc w:val="center"/>
              <w:rPr>
                <w:b/>
              </w:rPr>
            </w:pPr>
            <w:r w:rsidRPr="00571B40">
              <w:rPr>
                <w:b/>
              </w:rPr>
              <w:t>Location</w:t>
            </w:r>
          </w:p>
        </w:tc>
        <w:tc>
          <w:tcPr>
            <w:tcW w:w="1116" w:type="dxa"/>
            <w:tcBorders>
              <w:bottom w:val="single" w:sz="4" w:space="0" w:color="auto"/>
            </w:tcBorders>
          </w:tcPr>
          <w:p w14:paraId="20816173" w14:textId="7E3C26D3" w:rsidR="00571B40" w:rsidRPr="00571B40" w:rsidRDefault="00571B40" w:rsidP="00571B40">
            <w:pPr>
              <w:pStyle w:val="NoSpacing"/>
              <w:jc w:val="center"/>
              <w:rPr>
                <w:b/>
              </w:rPr>
            </w:pPr>
            <w:r w:rsidRPr="00571B40">
              <w:rPr>
                <w:b/>
              </w:rPr>
              <w:t>Relevant</w:t>
            </w:r>
          </w:p>
        </w:tc>
      </w:tr>
      <w:tr w:rsidR="00571B40" w:rsidRPr="00571B40" w14:paraId="0BC86F21" w14:textId="77777777" w:rsidTr="00571B40">
        <w:tc>
          <w:tcPr>
            <w:tcW w:w="2382" w:type="dxa"/>
            <w:tcBorders>
              <w:top w:val="single" w:sz="4" w:space="0" w:color="auto"/>
            </w:tcBorders>
          </w:tcPr>
          <w:p w14:paraId="53150395" w14:textId="77777777" w:rsidR="00571B40" w:rsidRPr="00571B40" w:rsidRDefault="00571B40" w:rsidP="00571B40">
            <w:pPr>
              <w:pStyle w:val="NoSpacing"/>
              <w:jc w:val="center"/>
              <w:rPr>
                <w:i/>
              </w:rPr>
            </w:pPr>
            <w:r w:rsidRPr="00571B40">
              <w:rPr>
                <w:i/>
              </w:rPr>
              <w:t>Law on the elections of People’s Deputies of the USSR, 1.12.1988</w:t>
            </w:r>
            <w:r w:rsidRPr="00571B40">
              <w:rPr>
                <w:i/>
                <w:vertAlign w:val="superscript"/>
              </w:rPr>
              <w:footnoteReference w:id="2"/>
            </w:r>
            <w:r w:rsidRPr="00571B40">
              <w:rPr>
                <w:i/>
              </w:rPr>
              <w:t>.</w:t>
            </w:r>
          </w:p>
          <w:p w14:paraId="68374557" w14:textId="77777777" w:rsidR="00571B40" w:rsidRPr="00571B40" w:rsidRDefault="00571B40" w:rsidP="00571B40">
            <w:pPr>
              <w:pStyle w:val="NoSpacing"/>
              <w:jc w:val="center"/>
              <w:rPr>
                <w:i/>
              </w:rPr>
            </w:pPr>
          </w:p>
        </w:tc>
        <w:tc>
          <w:tcPr>
            <w:tcW w:w="3431" w:type="dxa"/>
            <w:tcBorders>
              <w:top w:val="single" w:sz="4" w:space="0" w:color="auto"/>
            </w:tcBorders>
          </w:tcPr>
          <w:p w14:paraId="2B6C0F1F" w14:textId="77777777" w:rsidR="00571B40" w:rsidRPr="00571B40" w:rsidRDefault="00571B40" w:rsidP="00571B40">
            <w:pPr>
              <w:pStyle w:val="NoSpacing"/>
              <w:jc w:val="center"/>
            </w:pPr>
          </w:p>
        </w:tc>
        <w:tc>
          <w:tcPr>
            <w:tcW w:w="1357" w:type="dxa"/>
            <w:tcBorders>
              <w:top w:val="single" w:sz="4" w:space="0" w:color="auto"/>
            </w:tcBorders>
          </w:tcPr>
          <w:p w14:paraId="6B8CDD0B" w14:textId="77777777" w:rsidR="00571B40" w:rsidRPr="00571B40" w:rsidRDefault="00571B40" w:rsidP="00571B40">
            <w:pPr>
              <w:pStyle w:val="NoSpacing"/>
              <w:jc w:val="center"/>
            </w:pPr>
            <w:r w:rsidRPr="00571B40">
              <w:t>1.12.1988</w:t>
            </w:r>
          </w:p>
        </w:tc>
        <w:tc>
          <w:tcPr>
            <w:tcW w:w="2346" w:type="dxa"/>
            <w:tcBorders>
              <w:top w:val="single" w:sz="4" w:space="0" w:color="auto"/>
            </w:tcBorders>
          </w:tcPr>
          <w:p w14:paraId="1608E576" w14:textId="64AA7A44" w:rsidR="00571B40" w:rsidRPr="00571B40" w:rsidRDefault="005464F8" w:rsidP="00571B40">
            <w:pPr>
              <w:pStyle w:val="NoSpacing"/>
              <w:jc w:val="center"/>
              <w:rPr>
                <w:lang w:val="sr-Cyrl-CS"/>
              </w:rPr>
            </w:pPr>
            <w:hyperlink r:id="rId17" w:history="1">
              <w:r w:rsidR="00571B40" w:rsidRPr="00571B40">
                <w:rPr>
                  <w:rStyle w:val="Hyperlink"/>
                  <w:lang w:val="sr-Cyrl-CS"/>
                </w:rPr>
                <w:t>http://bestpravo.ru/ussr/data01/tex11440.htm</w:t>
              </w:r>
            </w:hyperlink>
          </w:p>
          <w:p w14:paraId="6E579A15" w14:textId="77777777" w:rsidR="00571B40" w:rsidRPr="00571B40" w:rsidRDefault="00571B40" w:rsidP="00571B40">
            <w:pPr>
              <w:pStyle w:val="NoSpacing"/>
              <w:jc w:val="center"/>
            </w:pPr>
          </w:p>
        </w:tc>
        <w:tc>
          <w:tcPr>
            <w:tcW w:w="1116" w:type="dxa"/>
            <w:tcBorders>
              <w:top w:val="single" w:sz="4" w:space="0" w:color="auto"/>
            </w:tcBorders>
          </w:tcPr>
          <w:p w14:paraId="31BF1D01" w14:textId="77777777" w:rsidR="00571B40" w:rsidRPr="00571B40" w:rsidRDefault="00571B40" w:rsidP="00571B40">
            <w:pPr>
              <w:pStyle w:val="NoSpacing"/>
              <w:jc w:val="center"/>
            </w:pPr>
            <w:r w:rsidRPr="00571B40">
              <w:t>Yes</w:t>
            </w:r>
          </w:p>
        </w:tc>
      </w:tr>
      <w:tr w:rsidR="00571B40" w:rsidRPr="00571B40" w14:paraId="41844953" w14:textId="77777777" w:rsidTr="00571B40">
        <w:tc>
          <w:tcPr>
            <w:tcW w:w="2382" w:type="dxa"/>
          </w:tcPr>
          <w:p w14:paraId="235C0E92" w14:textId="77777777" w:rsidR="00571B40" w:rsidRPr="00571B40" w:rsidRDefault="00571B40" w:rsidP="00571B40">
            <w:pPr>
              <w:pStyle w:val="NoSpacing"/>
              <w:jc w:val="center"/>
            </w:pPr>
            <w:bookmarkStart w:id="1" w:name="_Toc297204332"/>
            <w:r w:rsidRPr="00571B40">
              <w:rPr>
                <w:i/>
              </w:rPr>
              <w:t xml:space="preserve">Law on the Fifth Parliamentary Election </w:t>
            </w:r>
            <w:r w:rsidRPr="00571B40">
              <w:t>[Reporter 46, 03.12.1992; shall enter into force 20.10.1992; lapsed 6.07.1995]</w:t>
            </w:r>
            <w:r w:rsidRPr="00571B40">
              <w:rPr>
                <w:vertAlign w:val="superscript"/>
              </w:rPr>
              <w:footnoteReference w:id="3"/>
            </w:r>
            <w:bookmarkEnd w:id="1"/>
          </w:p>
          <w:p w14:paraId="1DA7B8C1" w14:textId="77777777" w:rsidR="00571B40" w:rsidRPr="00571B40" w:rsidRDefault="00571B40" w:rsidP="00571B40">
            <w:pPr>
              <w:pStyle w:val="NoSpacing"/>
              <w:jc w:val="center"/>
              <w:rPr>
                <w:i/>
              </w:rPr>
            </w:pPr>
          </w:p>
        </w:tc>
        <w:tc>
          <w:tcPr>
            <w:tcW w:w="3431" w:type="dxa"/>
          </w:tcPr>
          <w:p w14:paraId="4667830E" w14:textId="77777777" w:rsidR="00571B40" w:rsidRPr="00571B40" w:rsidRDefault="00571B40" w:rsidP="00571B40">
            <w:pPr>
              <w:pStyle w:val="NoSpacing"/>
              <w:jc w:val="center"/>
            </w:pPr>
          </w:p>
          <w:p w14:paraId="0C1B79BE" w14:textId="77777777" w:rsidR="00571B40" w:rsidRPr="00571B40" w:rsidRDefault="00571B40" w:rsidP="00571B40">
            <w:pPr>
              <w:pStyle w:val="NoSpacing"/>
              <w:jc w:val="center"/>
            </w:pPr>
          </w:p>
          <w:p w14:paraId="151A36B5" w14:textId="77777777" w:rsidR="00571B40" w:rsidRPr="00571B40" w:rsidRDefault="00571B40" w:rsidP="00571B40">
            <w:pPr>
              <w:pStyle w:val="NoSpacing"/>
              <w:jc w:val="center"/>
            </w:pPr>
          </w:p>
          <w:p w14:paraId="29B17893" w14:textId="77777777" w:rsidR="00571B40" w:rsidRPr="00571B40" w:rsidRDefault="00571B40" w:rsidP="00571B40">
            <w:pPr>
              <w:pStyle w:val="NoSpacing"/>
              <w:jc w:val="center"/>
            </w:pPr>
          </w:p>
        </w:tc>
        <w:tc>
          <w:tcPr>
            <w:tcW w:w="1357" w:type="dxa"/>
          </w:tcPr>
          <w:p w14:paraId="186B696F" w14:textId="77777777" w:rsidR="00571B40" w:rsidRPr="00571B40" w:rsidRDefault="00571B40" w:rsidP="00571B40">
            <w:pPr>
              <w:pStyle w:val="NoSpacing"/>
              <w:jc w:val="center"/>
            </w:pPr>
            <w:r w:rsidRPr="00571B40">
              <w:t>20.10.1992</w:t>
            </w:r>
          </w:p>
        </w:tc>
        <w:tc>
          <w:tcPr>
            <w:tcW w:w="2346" w:type="dxa"/>
          </w:tcPr>
          <w:p w14:paraId="6BB88C7B" w14:textId="7B217F28" w:rsidR="00571B40" w:rsidRPr="00571B40" w:rsidRDefault="005464F8" w:rsidP="00571B40">
            <w:pPr>
              <w:pStyle w:val="NoSpacing"/>
              <w:jc w:val="center"/>
            </w:pPr>
            <w:hyperlink r:id="rId18" w:history="1">
              <w:r w:rsidR="00571B40" w:rsidRPr="00571B40">
                <w:rPr>
                  <w:rStyle w:val="Hyperlink"/>
                </w:rPr>
                <w:t>http://www.likumi.lv/doc.php?id=66524&amp;from=off</w:t>
              </w:r>
            </w:hyperlink>
          </w:p>
          <w:p w14:paraId="21F23DA0" w14:textId="77777777" w:rsidR="00571B40" w:rsidRPr="00571B40" w:rsidRDefault="00571B40" w:rsidP="00571B40">
            <w:pPr>
              <w:pStyle w:val="NoSpacing"/>
              <w:jc w:val="center"/>
            </w:pPr>
          </w:p>
          <w:p w14:paraId="6532EF2D" w14:textId="4F18166B" w:rsidR="00571B40" w:rsidRPr="00571B40" w:rsidRDefault="00571B40" w:rsidP="00571B40">
            <w:pPr>
              <w:pStyle w:val="NoSpacing"/>
              <w:jc w:val="center"/>
            </w:pPr>
            <w:r w:rsidRPr="00571B40">
              <w:t>Although the title is different, an English translation is here:</w:t>
            </w:r>
          </w:p>
          <w:p w14:paraId="6E0E7932" w14:textId="77777777" w:rsidR="00571B40" w:rsidRPr="00571B40" w:rsidRDefault="005464F8" w:rsidP="00571B40">
            <w:pPr>
              <w:pStyle w:val="NoSpacing"/>
              <w:jc w:val="center"/>
            </w:pPr>
            <w:hyperlink r:id="rId19" w:history="1">
              <w:r w:rsidR="00571B40" w:rsidRPr="00571B40">
                <w:rPr>
                  <w:rStyle w:val="Hyperlink"/>
                </w:rPr>
                <w:t>http://www2.essex.ac.uk/elect/database/legislationAll.asp?country=latvia&amp;legislation=lv92</w:t>
              </w:r>
            </w:hyperlink>
          </w:p>
          <w:p w14:paraId="3C4C69ED" w14:textId="77777777" w:rsidR="00571B40" w:rsidRPr="00571B40" w:rsidRDefault="00571B40" w:rsidP="00571B40">
            <w:pPr>
              <w:pStyle w:val="NoSpacing"/>
              <w:jc w:val="center"/>
            </w:pPr>
          </w:p>
        </w:tc>
        <w:tc>
          <w:tcPr>
            <w:tcW w:w="1116" w:type="dxa"/>
          </w:tcPr>
          <w:p w14:paraId="5A887F30" w14:textId="77777777" w:rsidR="00571B40" w:rsidRPr="00571B40" w:rsidRDefault="00571B40" w:rsidP="00571B40">
            <w:pPr>
              <w:pStyle w:val="NoSpacing"/>
              <w:jc w:val="center"/>
            </w:pPr>
            <w:r w:rsidRPr="00571B40">
              <w:t>Yes</w:t>
            </w:r>
          </w:p>
        </w:tc>
      </w:tr>
      <w:tr w:rsidR="00571B40" w:rsidRPr="00571B40" w14:paraId="267B4067" w14:textId="77777777" w:rsidTr="00571B40">
        <w:tc>
          <w:tcPr>
            <w:tcW w:w="2382" w:type="dxa"/>
          </w:tcPr>
          <w:p w14:paraId="0AFDDCC8" w14:textId="77777777" w:rsidR="00571B40" w:rsidRPr="00571B40" w:rsidRDefault="00571B40" w:rsidP="00571B40">
            <w:pPr>
              <w:pStyle w:val="NoSpacing"/>
              <w:jc w:val="center"/>
              <w:rPr>
                <w:bCs/>
              </w:rPr>
            </w:pPr>
            <w:bookmarkStart w:id="2" w:name="_Toc297204333"/>
            <w:bookmarkStart w:id="3" w:name="_Toc297204680"/>
            <w:bookmarkStart w:id="4" w:name="_Toc297204741"/>
            <w:bookmarkStart w:id="5" w:name="_Toc297204905"/>
            <w:bookmarkStart w:id="6" w:name="_Toc297206004"/>
            <w:bookmarkStart w:id="7" w:name="_Toc297215884"/>
            <w:bookmarkStart w:id="8" w:name="_Toc297227831"/>
            <w:bookmarkStart w:id="9" w:name="_Toc297228356"/>
            <w:r w:rsidRPr="00571B40">
              <w:rPr>
                <w:i/>
              </w:rPr>
              <w:t>The Saeima Election Law</w:t>
            </w:r>
            <w:r w:rsidRPr="00571B40">
              <w:rPr>
                <w:bCs/>
                <w:vertAlign w:val="superscript"/>
              </w:rPr>
              <w:t xml:space="preserve"> </w:t>
            </w:r>
            <w:r w:rsidRPr="00571B40">
              <w:rPr>
                <w:bCs/>
                <w:vertAlign w:val="superscript"/>
              </w:rPr>
              <w:footnoteReference w:id="4"/>
            </w:r>
            <w:bookmarkEnd w:id="2"/>
            <w:bookmarkEnd w:id="3"/>
            <w:bookmarkEnd w:id="4"/>
            <w:bookmarkEnd w:id="5"/>
            <w:bookmarkEnd w:id="6"/>
            <w:bookmarkEnd w:id="7"/>
            <w:bookmarkEnd w:id="8"/>
            <w:bookmarkEnd w:id="9"/>
          </w:p>
        </w:tc>
        <w:tc>
          <w:tcPr>
            <w:tcW w:w="3431" w:type="dxa"/>
          </w:tcPr>
          <w:p w14:paraId="480BA026" w14:textId="77777777" w:rsidR="00571B40" w:rsidRPr="00571B40" w:rsidRDefault="00571B40" w:rsidP="00571B40">
            <w:pPr>
              <w:pStyle w:val="NoSpacing"/>
              <w:jc w:val="center"/>
            </w:pPr>
          </w:p>
        </w:tc>
        <w:tc>
          <w:tcPr>
            <w:tcW w:w="1357" w:type="dxa"/>
          </w:tcPr>
          <w:p w14:paraId="010BB431" w14:textId="77777777" w:rsidR="00571B40" w:rsidRPr="00571B40" w:rsidRDefault="00571B40" w:rsidP="00571B40">
            <w:pPr>
              <w:pStyle w:val="NoSpacing"/>
              <w:jc w:val="center"/>
            </w:pPr>
            <w:r w:rsidRPr="00571B40">
              <w:t>07.07.1995</w:t>
            </w:r>
          </w:p>
        </w:tc>
        <w:tc>
          <w:tcPr>
            <w:tcW w:w="2346" w:type="dxa"/>
          </w:tcPr>
          <w:p w14:paraId="390C5BDF" w14:textId="6A20EE7F" w:rsidR="00571B40" w:rsidRPr="00571B40" w:rsidRDefault="005464F8" w:rsidP="00571B40">
            <w:pPr>
              <w:pStyle w:val="NoSpacing"/>
              <w:jc w:val="center"/>
            </w:pPr>
            <w:hyperlink r:id="rId20" w:history="1">
              <w:r w:rsidR="00571B40" w:rsidRPr="00571B40">
                <w:rPr>
                  <w:rStyle w:val="Hyperlink"/>
                </w:rPr>
                <w:t>http://www.likumi.lv/doc.php?id=35261&amp;version_date=07.06.1995</w:t>
              </w:r>
            </w:hyperlink>
          </w:p>
        </w:tc>
        <w:tc>
          <w:tcPr>
            <w:tcW w:w="1116" w:type="dxa"/>
          </w:tcPr>
          <w:p w14:paraId="2A2D49F7" w14:textId="77777777" w:rsidR="00571B40" w:rsidRPr="00571B40" w:rsidRDefault="00571B40" w:rsidP="00571B40">
            <w:pPr>
              <w:pStyle w:val="NoSpacing"/>
              <w:jc w:val="center"/>
            </w:pPr>
            <w:r w:rsidRPr="00571B40">
              <w:t>Yes</w:t>
            </w:r>
          </w:p>
        </w:tc>
      </w:tr>
      <w:tr w:rsidR="00571B40" w:rsidRPr="00571B40" w14:paraId="0C8E4C73" w14:textId="77777777" w:rsidTr="00571B40">
        <w:tc>
          <w:tcPr>
            <w:tcW w:w="2382" w:type="dxa"/>
          </w:tcPr>
          <w:p w14:paraId="616287AF" w14:textId="77777777" w:rsidR="00571B40" w:rsidRPr="00571B40" w:rsidRDefault="00571B40" w:rsidP="00571B40">
            <w:pPr>
              <w:pStyle w:val="NoSpacing"/>
              <w:jc w:val="center"/>
              <w:rPr>
                <w:bCs/>
                <w:lang w:val="en-US"/>
              </w:rPr>
            </w:pPr>
          </w:p>
        </w:tc>
        <w:tc>
          <w:tcPr>
            <w:tcW w:w="3431" w:type="dxa"/>
          </w:tcPr>
          <w:p w14:paraId="1BFC1D5E" w14:textId="77777777" w:rsidR="00571B40" w:rsidRPr="00571B40" w:rsidRDefault="00571B40" w:rsidP="00571B40">
            <w:pPr>
              <w:pStyle w:val="NoSpacing"/>
              <w:jc w:val="center"/>
            </w:pPr>
            <w:r w:rsidRPr="00571B40">
              <w:rPr>
                <w:i/>
              </w:rPr>
              <w:t>Amendments to the Saeima Election Law</w:t>
            </w:r>
            <w:r w:rsidRPr="00571B40">
              <w:rPr>
                <w:vertAlign w:val="superscript"/>
              </w:rPr>
              <w:footnoteReference w:id="5"/>
            </w:r>
          </w:p>
        </w:tc>
        <w:tc>
          <w:tcPr>
            <w:tcW w:w="1357" w:type="dxa"/>
          </w:tcPr>
          <w:p w14:paraId="31FF5BFE" w14:textId="77777777" w:rsidR="00571B40" w:rsidRPr="00571B40" w:rsidRDefault="00571B40" w:rsidP="00571B40">
            <w:pPr>
              <w:pStyle w:val="NoSpacing"/>
              <w:jc w:val="center"/>
            </w:pPr>
            <w:r w:rsidRPr="00571B40">
              <w:t>21.04.1998</w:t>
            </w:r>
          </w:p>
        </w:tc>
        <w:tc>
          <w:tcPr>
            <w:tcW w:w="2346" w:type="dxa"/>
          </w:tcPr>
          <w:p w14:paraId="2C78E5A2" w14:textId="0C6A5FFF" w:rsidR="00571B40" w:rsidRPr="00571B40" w:rsidRDefault="005464F8" w:rsidP="00571B40">
            <w:pPr>
              <w:pStyle w:val="NoSpacing"/>
              <w:jc w:val="center"/>
            </w:pPr>
            <w:hyperlink r:id="rId21" w:history="1">
              <w:r w:rsidR="00571B40" w:rsidRPr="00571B40">
                <w:rPr>
                  <w:rStyle w:val="Hyperlink"/>
                </w:rPr>
                <w:t>http://www.likumi.lv/doc.php?id=47584</w:t>
              </w:r>
            </w:hyperlink>
          </w:p>
          <w:p w14:paraId="350E40D5" w14:textId="77777777" w:rsidR="00571B40" w:rsidRPr="00571B40" w:rsidRDefault="00571B40" w:rsidP="00571B40">
            <w:pPr>
              <w:pStyle w:val="NoSpacing"/>
              <w:jc w:val="center"/>
            </w:pPr>
          </w:p>
        </w:tc>
        <w:tc>
          <w:tcPr>
            <w:tcW w:w="1116" w:type="dxa"/>
          </w:tcPr>
          <w:p w14:paraId="7EDA0211" w14:textId="77777777" w:rsidR="00571B40" w:rsidRPr="00571B40" w:rsidRDefault="00571B40" w:rsidP="00571B40">
            <w:pPr>
              <w:pStyle w:val="NoSpacing"/>
              <w:jc w:val="center"/>
            </w:pPr>
          </w:p>
        </w:tc>
      </w:tr>
      <w:tr w:rsidR="00571B40" w:rsidRPr="00571B40" w14:paraId="42C99922" w14:textId="77777777" w:rsidTr="00571B40">
        <w:tc>
          <w:tcPr>
            <w:tcW w:w="2382" w:type="dxa"/>
          </w:tcPr>
          <w:p w14:paraId="4A179E6F" w14:textId="77777777" w:rsidR="00571B40" w:rsidRPr="00571B40" w:rsidRDefault="00571B40" w:rsidP="00571B40">
            <w:pPr>
              <w:pStyle w:val="NoSpacing"/>
              <w:jc w:val="center"/>
              <w:rPr>
                <w:bCs/>
                <w:lang w:val="en-US"/>
              </w:rPr>
            </w:pPr>
          </w:p>
        </w:tc>
        <w:tc>
          <w:tcPr>
            <w:tcW w:w="3431" w:type="dxa"/>
          </w:tcPr>
          <w:p w14:paraId="0725ED2E" w14:textId="77777777" w:rsidR="00571B40" w:rsidRPr="00571B40" w:rsidRDefault="00571B40" w:rsidP="00571B40">
            <w:pPr>
              <w:pStyle w:val="NoSpacing"/>
              <w:jc w:val="center"/>
            </w:pPr>
            <w:r w:rsidRPr="00571B40">
              <w:rPr>
                <w:i/>
              </w:rPr>
              <w:t>Amendments to the Saeima Election Law</w:t>
            </w:r>
            <w:r w:rsidRPr="00571B40">
              <w:rPr>
                <w:vertAlign w:val="superscript"/>
              </w:rPr>
              <w:footnoteReference w:id="6"/>
            </w:r>
          </w:p>
        </w:tc>
        <w:tc>
          <w:tcPr>
            <w:tcW w:w="1357" w:type="dxa"/>
          </w:tcPr>
          <w:p w14:paraId="5508C3EB" w14:textId="77777777" w:rsidR="00571B40" w:rsidRPr="00571B40" w:rsidRDefault="00571B40" w:rsidP="00571B40">
            <w:pPr>
              <w:pStyle w:val="NoSpacing"/>
              <w:jc w:val="center"/>
            </w:pPr>
            <w:r w:rsidRPr="00571B40">
              <w:t>12.06.1998</w:t>
            </w:r>
          </w:p>
        </w:tc>
        <w:tc>
          <w:tcPr>
            <w:tcW w:w="2346" w:type="dxa"/>
          </w:tcPr>
          <w:p w14:paraId="4C50EFC7" w14:textId="67F175A7" w:rsidR="00571B40" w:rsidRPr="00571B40" w:rsidRDefault="005464F8" w:rsidP="00571B40">
            <w:pPr>
              <w:pStyle w:val="NoSpacing"/>
              <w:jc w:val="center"/>
            </w:pPr>
            <w:hyperlink r:id="rId22" w:history="1">
              <w:r w:rsidR="00571B40" w:rsidRPr="00571B40">
                <w:rPr>
                  <w:rStyle w:val="Hyperlink"/>
                </w:rPr>
                <w:t>http://www.likumi.lv/doc.php?id=48626</w:t>
              </w:r>
            </w:hyperlink>
          </w:p>
          <w:p w14:paraId="580B843A" w14:textId="77777777" w:rsidR="00571B40" w:rsidRPr="00571B40" w:rsidRDefault="00571B40" w:rsidP="00571B40">
            <w:pPr>
              <w:pStyle w:val="NoSpacing"/>
              <w:jc w:val="center"/>
            </w:pPr>
          </w:p>
        </w:tc>
        <w:tc>
          <w:tcPr>
            <w:tcW w:w="1116" w:type="dxa"/>
          </w:tcPr>
          <w:p w14:paraId="4CDC843B" w14:textId="77777777" w:rsidR="00571B40" w:rsidRPr="00571B40" w:rsidRDefault="00571B40" w:rsidP="00571B40">
            <w:pPr>
              <w:pStyle w:val="NoSpacing"/>
              <w:jc w:val="center"/>
            </w:pPr>
          </w:p>
        </w:tc>
      </w:tr>
      <w:tr w:rsidR="00571B40" w:rsidRPr="00571B40" w14:paraId="16DB5A34" w14:textId="77777777" w:rsidTr="00571B40">
        <w:tc>
          <w:tcPr>
            <w:tcW w:w="2382" w:type="dxa"/>
          </w:tcPr>
          <w:p w14:paraId="4B04950D" w14:textId="77777777" w:rsidR="00571B40" w:rsidRPr="00571B40" w:rsidRDefault="00571B40" w:rsidP="00571B40">
            <w:pPr>
              <w:pStyle w:val="NoSpacing"/>
              <w:jc w:val="center"/>
            </w:pPr>
          </w:p>
        </w:tc>
        <w:tc>
          <w:tcPr>
            <w:tcW w:w="3431" w:type="dxa"/>
          </w:tcPr>
          <w:p w14:paraId="09D6FC8D" w14:textId="77777777" w:rsidR="00571B40" w:rsidRPr="00571B40" w:rsidRDefault="00571B40" w:rsidP="00571B40">
            <w:pPr>
              <w:pStyle w:val="NoSpacing"/>
              <w:jc w:val="center"/>
            </w:pPr>
            <w:r w:rsidRPr="00571B40">
              <w:rPr>
                <w:i/>
              </w:rPr>
              <w:t>Amendments to the Saeima Election Law</w:t>
            </w:r>
            <w:r w:rsidRPr="00571B40">
              <w:rPr>
                <w:vertAlign w:val="superscript"/>
              </w:rPr>
              <w:footnoteReference w:id="7"/>
            </w:r>
          </w:p>
          <w:p w14:paraId="17A3651F" w14:textId="77777777" w:rsidR="00571B40" w:rsidRPr="00571B40" w:rsidRDefault="00571B40" w:rsidP="00571B40">
            <w:pPr>
              <w:pStyle w:val="NoSpacing"/>
              <w:jc w:val="center"/>
              <w:rPr>
                <w:bCs/>
                <w:lang w:val="en-US"/>
              </w:rPr>
            </w:pPr>
          </w:p>
        </w:tc>
        <w:tc>
          <w:tcPr>
            <w:tcW w:w="1357" w:type="dxa"/>
          </w:tcPr>
          <w:p w14:paraId="726B1D11" w14:textId="77777777" w:rsidR="00571B40" w:rsidRPr="00571B40" w:rsidRDefault="00571B40" w:rsidP="00571B40">
            <w:pPr>
              <w:pStyle w:val="NoSpacing"/>
              <w:jc w:val="center"/>
            </w:pPr>
            <w:r w:rsidRPr="00571B40">
              <w:t>23.05.2002</w:t>
            </w:r>
          </w:p>
        </w:tc>
        <w:tc>
          <w:tcPr>
            <w:tcW w:w="2346" w:type="dxa"/>
          </w:tcPr>
          <w:p w14:paraId="124707F8" w14:textId="353B7477" w:rsidR="00571B40" w:rsidRPr="00571B40" w:rsidRDefault="005464F8" w:rsidP="00571B40">
            <w:pPr>
              <w:pStyle w:val="NoSpacing"/>
              <w:jc w:val="center"/>
            </w:pPr>
            <w:hyperlink r:id="rId23" w:history="1">
              <w:r w:rsidR="00571B40" w:rsidRPr="00571B40">
                <w:rPr>
                  <w:rStyle w:val="Hyperlink"/>
                </w:rPr>
                <w:t>http://www.likumi.lv/doc.php?id=62321</w:t>
              </w:r>
            </w:hyperlink>
          </w:p>
          <w:p w14:paraId="4A09730F" w14:textId="77777777" w:rsidR="00571B40" w:rsidRPr="00571B40" w:rsidRDefault="00571B40" w:rsidP="00571B40">
            <w:pPr>
              <w:pStyle w:val="NoSpacing"/>
              <w:jc w:val="center"/>
            </w:pPr>
          </w:p>
        </w:tc>
        <w:tc>
          <w:tcPr>
            <w:tcW w:w="1116" w:type="dxa"/>
          </w:tcPr>
          <w:p w14:paraId="177FAE13" w14:textId="77777777" w:rsidR="00571B40" w:rsidRDefault="00571B40" w:rsidP="00571B40">
            <w:pPr>
              <w:pStyle w:val="NoSpacing"/>
              <w:jc w:val="center"/>
            </w:pPr>
            <w:r w:rsidRPr="00571B40">
              <w:t>Yes</w:t>
            </w:r>
          </w:p>
          <w:p w14:paraId="1845C6A7" w14:textId="77777777" w:rsidR="00405DCF" w:rsidRDefault="00405DCF" w:rsidP="00571B40">
            <w:pPr>
              <w:pStyle w:val="NoSpacing"/>
              <w:jc w:val="center"/>
            </w:pPr>
          </w:p>
          <w:p w14:paraId="47E2AD8A" w14:textId="77777777" w:rsidR="00405DCF" w:rsidRDefault="00405DCF" w:rsidP="00571B40">
            <w:pPr>
              <w:pStyle w:val="NoSpacing"/>
              <w:jc w:val="center"/>
            </w:pPr>
          </w:p>
          <w:p w14:paraId="5E285BCD" w14:textId="77777777" w:rsidR="00405DCF" w:rsidRDefault="00405DCF" w:rsidP="00571B40">
            <w:pPr>
              <w:pStyle w:val="NoSpacing"/>
              <w:jc w:val="center"/>
            </w:pPr>
          </w:p>
          <w:p w14:paraId="678FE89A" w14:textId="77777777" w:rsidR="00405DCF" w:rsidRPr="00571B40" w:rsidRDefault="00405DCF" w:rsidP="00571B40">
            <w:pPr>
              <w:pStyle w:val="NoSpacing"/>
              <w:jc w:val="center"/>
            </w:pPr>
          </w:p>
        </w:tc>
      </w:tr>
      <w:tr w:rsidR="00571B40" w:rsidRPr="00571B40" w14:paraId="7B67BDE3" w14:textId="77777777" w:rsidTr="00571B40">
        <w:tc>
          <w:tcPr>
            <w:tcW w:w="2382" w:type="dxa"/>
          </w:tcPr>
          <w:p w14:paraId="782032D6" w14:textId="77777777" w:rsidR="00571B40" w:rsidRPr="00571B40" w:rsidRDefault="00571B40" w:rsidP="00571B40">
            <w:pPr>
              <w:pStyle w:val="NoSpacing"/>
              <w:jc w:val="center"/>
            </w:pPr>
          </w:p>
        </w:tc>
        <w:tc>
          <w:tcPr>
            <w:tcW w:w="3431" w:type="dxa"/>
          </w:tcPr>
          <w:p w14:paraId="064B338E" w14:textId="77777777" w:rsidR="00571B40" w:rsidRPr="00571B40" w:rsidRDefault="00571B40" w:rsidP="00571B40">
            <w:pPr>
              <w:pStyle w:val="NoSpacing"/>
              <w:jc w:val="center"/>
            </w:pPr>
            <w:r w:rsidRPr="00571B40">
              <w:rPr>
                <w:i/>
              </w:rPr>
              <w:t>Amendments to the Saeima Election Law</w:t>
            </w:r>
            <w:r w:rsidRPr="00571B40">
              <w:rPr>
                <w:vertAlign w:val="superscript"/>
              </w:rPr>
              <w:footnoteReference w:id="8"/>
            </w:r>
          </w:p>
        </w:tc>
        <w:tc>
          <w:tcPr>
            <w:tcW w:w="1357" w:type="dxa"/>
          </w:tcPr>
          <w:p w14:paraId="0E059326" w14:textId="77777777" w:rsidR="00571B40" w:rsidRPr="00571B40" w:rsidRDefault="00571B40" w:rsidP="00571B40">
            <w:pPr>
              <w:pStyle w:val="NoSpacing"/>
              <w:jc w:val="center"/>
            </w:pPr>
            <w:r w:rsidRPr="00571B40">
              <w:t>27.06.2002</w:t>
            </w:r>
          </w:p>
        </w:tc>
        <w:tc>
          <w:tcPr>
            <w:tcW w:w="2346" w:type="dxa"/>
          </w:tcPr>
          <w:p w14:paraId="06EAD400" w14:textId="44EFC92E" w:rsidR="00571B40" w:rsidRPr="00571B40" w:rsidRDefault="005464F8" w:rsidP="00571B40">
            <w:pPr>
              <w:pStyle w:val="NoSpacing"/>
              <w:jc w:val="center"/>
            </w:pPr>
            <w:hyperlink r:id="rId24" w:history="1">
              <w:r w:rsidR="00571B40" w:rsidRPr="00571B40">
                <w:rPr>
                  <w:rStyle w:val="Hyperlink"/>
                </w:rPr>
                <w:t>http://www.likumi.lv/doc.php?id=63177</w:t>
              </w:r>
            </w:hyperlink>
          </w:p>
          <w:p w14:paraId="79D3CA81" w14:textId="77777777" w:rsidR="00571B40" w:rsidRPr="00571B40" w:rsidRDefault="00571B40" w:rsidP="00571B40">
            <w:pPr>
              <w:pStyle w:val="NoSpacing"/>
              <w:jc w:val="center"/>
            </w:pPr>
          </w:p>
        </w:tc>
        <w:tc>
          <w:tcPr>
            <w:tcW w:w="1116" w:type="dxa"/>
          </w:tcPr>
          <w:p w14:paraId="4D0CB425" w14:textId="77777777" w:rsidR="00571B40" w:rsidRPr="00571B40" w:rsidRDefault="00571B40" w:rsidP="00571B40">
            <w:pPr>
              <w:pStyle w:val="NoSpacing"/>
              <w:jc w:val="center"/>
            </w:pPr>
          </w:p>
        </w:tc>
      </w:tr>
      <w:tr w:rsidR="00571B40" w:rsidRPr="00571B40" w14:paraId="32A7624B" w14:textId="77777777" w:rsidTr="00571B40">
        <w:tc>
          <w:tcPr>
            <w:tcW w:w="2382" w:type="dxa"/>
          </w:tcPr>
          <w:p w14:paraId="55ECB47C" w14:textId="77777777" w:rsidR="00571B40" w:rsidRPr="00571B40" w:rsidRDefault="00571B40" w:rsidP="00571B40">
            <w:pPr>
              <w:pStyle w:val="NoSpacing"/>
              <w:jc w:val="center"/>
            </w:pPr>
            <w:r w:rsidRPr="00571B40">
              <w:rPr>
                <w:i/>
              </w:rPr>
              <w:t xml:space="preserve">On Compliance of Paragraph 2, Article 2 of the Saeima Election Law with Article 6, 8 and 91 of the </w:t>
            </w:r>
            <w:r w:rsidRPr="00571B40">
              <w:rPr>
                <w:bCs/>
                <w:i/>
              </w:rPr>
              <w:t>Constitution of the Republic of Latvia</w:t>
            </w:r>
            <w:r w:rsidRPr="00571B40">
              <w:rPr>
                <w:bCs/>
              </w:rPr>
              <w:t xml:space="preserve"> [Latvian Constitutional Court judgment on the non-compliance of Article 2 of the Saeima Election Law with</w:t>
            </w:r>
            <w:r w:rsidRPr="00571B40">
              <w:rPr>
                <w:iCs/>
              </w:rPr>
              <w:t xml:space="preserve"> Articles 6 and 8 of the Constitution of the Republic of Latvia 06.03.2003</w:t>
            </w:r>
            <w:r w:rsidRPr="00571B40">
              <w:rPr>
                <w:bCs/>
              </w:rPr>
              <w:t>]</w:t>
            </w:r>
            <w:r w:rsidRPr="00571B40">
              <w:t>.</w:t>
            </w:r>
            <w:r w:rsidRPr="00571B40">
              <w:rPr>
                <w:vertAlign w:val="superscript"/>
              </w:rPr>
              <w:footnoteReference w:id="9"/>
            </w:r>
          </w:p>
          <w:p w14:paraId="74D4DF2C" w14:textId="77777777" w:rsidR="00571B40" w:rsidRPr="00571B40" w:rsidRDefault="00571B40" w:rsidP="00571B40">
            <w:pPr>
              <w:pStyle w:val="NoSpacing"/>
              <w:jc w:val="center"/>
            </w:pPr>
          </w:p>
        </w:tc>
        <w:tc>
          <w:tcPr>
            <w:tcW w:w="3431" w:type="dxa"/>
          </w:tcPr>
          <w:p w14:paraId="25828AEE" w14:textId="77777777" w:rsidR="00571B40" w:rsidRPr="00571B40" w:rsidRDefault="00571B40" w:rsidP="00571B40">
            <w:pPr>
              <w:pStyle w:val="NoSpacing"/>
              <w:jc w:val="center"/>
            </w:pPr>
          </w:p>
        </w:tc>
        <w:tc>
          <w:tcPr>
            <w:tcW w:w="1357" w:type="dxa"/>
          </w:tcPr>
          <w:p w14:paraId="1C188E53" w14:textId="77777777" w:rsidR="00571B40" w:rsidRPr="00571B40" w:rsidRDefault="00571B40" w:rsidP="00571B40">
            <w:pPr>
              <w:pStyle w:val="NoSpacing"/>
              <w:jc w:val="center"/>
            </w:pPr>
            <w:r w:rsidRPr="00571B40">
              <w:t>06.03.2003</w:t>
            </w:r>
          </w:p>
        </w:tc>
        <w:tc>
          <w:tcPr>
            <w:tcW w:w="2346" w:type="dxa"/>
          </w:tcPr>
          <w:p w14:paraId="7518D307" w14:textId="77777777" w:rsidR="00571B40" w:rsidRPr="00571B40" w:rsidRDefault="005464F8" w:rsidP="00571B40">
            <w:pPr>
              <w:pStyle w:val="NoSpacing"/>
              <w:jc w:val="center"/>
            </w:pPr>
            <w:hyperlink r:id="rId25" w:history="1">
              <w:r w:rsidR="00571B40" w:rsidRPr="00571B40">
                <w:rPr>
                  <w:rStyle w:val="Hyperlink"/>
                </w:rPr>
                <w:t>http://www.likumi.lv/doc.php?id=72099</w:t>
              </w:r>
            </w:hyperlink>
          </w:p>
        </w:tc>
        <w:tc>
          <w:tcPr>
            <w:tcW w:w="1116" w:type="dxa"/>
          </w:tcPr>
          <w:p w14:paraId="54649B51" w14:textId="77777777" w:rsidR="00571B40" w:rsidRPr="00571B40" w:rsidRDefault="00571B40" w:rsidP="00571B40">
            <w:pPr>
              <w:pStyle w:val="NoSpacing"/>
              <w:jc w:val="center"/>
            </w:pPr>
            <w:r w:rsidRPr="00571B40">
              <w:t>Yes</w:t>
            </w:r>
          </w:p>
        </w:tc>
      </w:tr>
      <w:tr w:rsidR="00571B40" w:rsidRPr="00571B40" w14:paraId="62D16285" w14:textId="77777777" w:rsidTr="00571B40">
        <w:tc>
          <w:tcPr>
            <w:tcW w:w="2382" w:type="dxa"/>
          </w:tcPr>
          <w:p w14:paraId="5A72B85A" w14:textId="77777777" w:rsidR="00571B40" w:rsidRPr="00571B40" w:rsidRDefault="00571B40" w:rsidP="00571B40">
            <w:pPr>
              <w:pStyle w:val="NoSpacing"/>
              <w:jc w:val="center"/>
            </w:pPr>
          </w:p>
        </w:tc>
        <w:tc>
          <w:tcPr>
            <w:tcW w:w="3431" w:type="dxa"/>
          </w:tcPr>
          <w:p w14:paraId="7E173E1E" w14:textId="77777777" w:rsidR="00571B40" w:rsidRPr="00571B40" w:rsidRDefault="00571B40" w:rsidP="00571B40">
            <w:pPr>
              <w:pStyle w:val="NoSpacing"/>
              <w:jc w:val="center"/>
            </w:pPr>
            <w:r w:rsidRPr="00571B40">
              <w:rPr>
                <w:i/>
              </w:rPr>
              <w:t>Amendments to the Saeima Election Law</w:t>
            </w:r>
            <w:r w:rsidRPr="00571B40">
              <w:rPr>
                <w:vertAlign w:val="superscript"/>
              </w:rPr>
              <w:footnoteReference w:id="10"/>
            </w:r>
          </w:p>
        </w:tc>
        <w:tc>
          <w:tcPr>
            <w:tcW w:w="1357" w:type="dxa"/>
          </w:tcPr>
          <w:p w14:paraId="5CB6F48A" w14:textId="77777777" w:rsidR="00571B40" w:rsidRPr="00571B40" w:rsidRDefault="00571B40" w:rsidP="00571B40">
            <w:pPr>
              <w:pStyle w:val="NoSpacing"/>
              <w:jc w:val="center"/>
              <w:rPr>
                <w:bCs/>
                <w:lang w:val="en-US"/>
              </w:rPr>
            </w:pPr>
            <w:r w:rsidRPr="00571B40">
              <w:rPr>
                <w:bCs/>
                <w:lang w:val="en-US"/>
              </w:rPr>
              <w:t>11.09.2003</w:t>
            </w:r>
          </w:p>
        </w:tc>
        <w:tc>
          <w:tcPr>
            <w:tcW w:w="2346" w:type="dxa"/>
          </w:tcPr>
          <w:p w14:paraId="71D044D8" w14:textId="3E05BC48" w:rsidR="00571B40" w:rsidRPr="00571B40" w:rsidRDefault="005464F8" w:rsidP="00571B40">
            <w:pPr>
              <w:pStyle w:val="NoSpacing"/>
              <w:jc w:val="center"/>
            </w:pPr>
            <w:hyperlink r:id="rId26" w:history="1">
              <w:r w:rsidR="00571B40" w:rsidRPr="00571B40">
                <w:rPr>
                  <w:rStyle w:val="Hyperlink"/>
                </w:rPr>
                <w:t>http://www.likumi.lv/doc.php?id=78771</w:t>
              </w:r>
            </w:hyperlink>
          </w:p>
          <w:p w14:paraId="5DEE1631" w14:textId="77777777" w:rsidR="00571B40" w:rsidRPr="00571B40" w:rsidRDefault="00571B40" w:rsidP="00571B40">
            <w:pPr>
              <w:pStyle w:val="NoSpacing"/>
              <w:jc w:val="center"/>
            </w:pPr>
          </w:p>
        </w:tc>
        <w:tc>
          <w:tcPr>
            <w:tcW w:w="1116" w:type="dxa"/>
          </w:tcPr>
          <w:p w14:paraId="11D63C3B" w14:textId="77777777" w:rsidR="00571B40" w:rsidRPr="00571B40" w:rsidRDefault="00571B40" w:rsidP="00571B40">
            <w:pPr>
              <w:pStyle w:val="NoSpacing"/>
              <w:jc w:val="center"/>
            </w:pPr>
          </w:p>
        </w:tc>
      </w:tr>
      <w:tr w:rsidR="00571B40" w:rsidRPr="00571B40" w14:paraId="417F2CF1" w14:textId="77777777" w:rsidTr="00571B40">
        <w:tc>
          <w:tcPr>
            <w:tcW w:w="2382" w:type="dxa"/>
          </w:tcPr>
          <w:p w14:paraId="15BD8646" w14:textId="77777777" w:rsidR="00571B40" w:rsidRPr="00571B40" w:rsidRDefault="00571B40" w:rsidP="00571B40">
            <w:pPr>
              <w:pStyle w:val="NoSpacing"/>
              <w:jc w:val="center"/>
            </w:pPr>
          </w:p>
        </w:tc>
        <w:tc>
          <w:tcPr>
            <w:tcW w:w="3431" w:type="dxa"/>
          </w:tcPr>
          <w:p w14:paraId="22D4EBDF" w14:textId="77777777" w:rsidR="00571B40" w:rsidRPr="00571B40" w:rsidRDefault="00571B40" w:rsidP="00571B40">
            <w:pPr>
              <w:pStyle w:val="NoSpacing"/>
              <w:jc w:val="center"/>
              <w:rPr>
                <w:bCs/>
                <w:lang w:val="en-US"/>
              </w:rPr>
            </w:pPr>
            <w:r w:rsidRPr="00571B40">
              <w:rPr>
                <w:i/>
              </w:rPr>
              <w:t>Amendments to the Saeima Election Law</w:t>
            </w:r>
            <w:r w:rsidRPr="00571B40">
              <w:rPr>
                <w:vertAlign w:val="superscript"/>
              </w:rPr>
              <w:footnoteReference w:id="11"/>
            </w:r>
          </w:p>
        </w:tc>
        <w:tc>
          <w:tcPr>
            <w:tcW w:w="1357" w:type="dxa"/>
          </w:tcPr>
          <w:p w14:paraId="5D698594" w14:textId="77777777" w:rsidR="00571B40" w:rsidRPr="00571B40" w:rsidRDefault="00571B40" w:rsidP="00571B40">
            <w:pPr>
              <w:pStyle w:val="NoSpacing"/>
              <w:jc w:val="center"/>
            </w:pPr>
            <w:r w:rsidRPr="00571B40">
              <w:t>06.04.2006</w:t>
            </w:r>
          </w:p>
        </w:tc>
        <w:tc>
          <w:tcPr>
            <w:tcW w:w="2346" w:type="dxa"/>
          </w:tcPr>
          <w:p w14:paraId="3436681E" w14:textId="77777777" w:rsidR="00571B40" w:rsidRPr="00571B40" w:rsidRDefault="005464F8" w:rsidP="00571B40">
            <w:pPr>
              <w:pStyle w:val="NoSpacing"/>
              <w:jc w:val="center"/>
            </w:pPr>
            <w:hyperlink r:id="rId27" w:history="1">
              <w:r w:rsidR="00571B40" w:rsidRPr="00571B40">
                <w:rPr>
                  <w:rStyle w:val="Hyperlink"/>
                </w:rPr>
                <w:t>http://www.likumi.lv/doc.php?id=131058</w:t>
              </w:r>
            </w:hyperlink>
          </w:p>
        </w:tc>
        <w:tc>
          <w:tcPr>
            <w:tcW w:w="1116" w:type="dxa"/>
          </w:tcPr>
          <w:p w14:paraId="26450936" w14:textId="77777777" w:rsidR="00571B40" w:rsidRPr="00571B40" w:rsidRDefault="00571B40" w:rsidP="00571B40">
            <w:pPr>
              <w:pStyle w:val="NoSpacing"/>
              <w:jc w:val="center"/>
            </w:pPr>
            <w:r w:rsidRPr="00571B40">
              <w:t>Yes</w:t>
            </w:r>
          </w:p>
        </w:tc>
      </w:tr>
      <w:tr w:rsidR="00571B40" w:rsidRPr="00571B40" w14:paraId="64FC1621" w14:textId="77777777" w:rsidTr="00571B40">
        <w:tc>
          <w:tcPr>
            <w:tcW w:w="2382" w:type="dxa"/>
          </w:tcPr>
          <w:p w14:paraId="46EBE89A" w14:textId="77777777" w:rsidR="00571B40" w:rsidRPr="00571B40" w:rsidRDefault="00571B40" w:rsidP="00571B40">
            <w:pPr>
              <w:pStyle w:val="NoSpacing"/>
              <w:jc w:val="center"/>
              <w:rPr>
                <w:bCs/>
                <w:lang w:val="en-US"/>
              </w:rPr>
            </w:pPr>
          </w:p>
        </w:tc>
        <w:tc>
          <w:tcPr>
            <w:tcW w:w="3431" w:type="dxa"/>
          </w:tcPr>
          <w:p w14:paraId="6347279F" w14:textId="77777777" w:rsidR="00571B40" w:rsidRPr="00571B40" w:rsidRDefault="00571B40" w:rsidP="00571B40">
            <w:pPr>
              <w:pStyle w:val="NoSpacing"/>
              <w:jc w:val="center"/>
              <w:rPr>
                <w:bCs/>
                <w:lang w:val="en-US"/>
              </w:rPr>
            </w:pPr>
            <w:r w:rsidRPr="00571B40">
              <w:rPr>
                <w:i/>
              </w:rPr>
              <w:t>Amendments to the Saeima Election Law</w:t>
            </w:r>
            <w:r w:rsidRPr="00571B40">
              <w:rPr>
                <w:vertAlign w:val="superscript"/>
              </w:rPr>
              <w:footnoteReference w:id="12"/>
            </w:r>
          </w:p>
        </w:tc>
        <w:tc>
          <w:tcPr>
            <w:tcW w:w="1357" w:type="dxa"/>
          </w:tcPr>
          <w:p w14:paraId="3BC7EA22" w14:textId="77777777" w:rsidR="00571B40" w:rsidRPr="00571B40" w:rsidRDefault="00571B40" w:rsidP="00571B40">
            <w:pPr>
              <w:pStyle w:val="NoSpacing"/>
              <w:jc w:val="center"/>
            </w:pPr>
            <w:r w:rsidRPr="00571B40">
              <w:t>09.05.2006</w:t>
            </w:r>
          </w:p>
        </w:tc>
        <w:tc>
          <w:tcPr>
            <w:tcW w:w="2346" w:type="dxa"/>
          </w:tcPr>
          <w:p w14:paraId="024723FC" w14:textId="4D59C5A5" w:rsidR="00571B40" w:rsidRDefault="005464F8" w:rsidP="00571B40">
            <w:pPr>
              <w:pStyle w:val="NoSpacing"/>
              <w:jc w:val="center"/>
            </w:pPr>
            <w:hyperlink r:id="rId28" w:history="1">
              <w:r w:rsidR="00571B40" w:rsidRPr="00571B40">
                <w:rPr>
                  <w:rStyle w:val="Hyperlink"/>
                </w:rPr>
                <w:t>http://www.likumi.lv/doc.php?id=133537</w:t>
              </w:r>
            </w:hyperlink>
          </w:p>
          <w:p w14:paraId="080030EC" w14:textId="77777777" w:rsidR="00405DCF" w:rsidRDefault="00405DCF" w:rsidP="00571B40">
            <w:pPr>
              <w:pStyle w:val="NoSpacing"/>
              <w:jc w:val="center"/>
            </w:pPr>
          </w:p>
          <w:p w14:paraId="0A618962" w14:textId="77777777" w:rsidR="00405DCF" w:rsidRDefault="00405DCF" w:rsidP="00571B40">
            <w:pPr>
              <w:pStyle w:val="NoSpacing"/>
              <w:jc w:val="center"/>
            </w:pPr>
          </w:p>
          <w:p w14:paraId="5AE01831" w14:textId="77777777" w:rsidR="00405DCF" w:rsidRDefault="00405DCF" w:rsidP="00571B40">
            <w:pPr>
              <w:pStyle w:val="NoSpacing"/>
              <w:jc w:val="center"/>
            </w:pPr>
          </w:p>
          <w:p w14:paraId="620CF45A" w14:textId="77777777" w:rsidR="00405DCF" w:rsidRDefault="00405DCF" w:rsidP="00571B40">
            <w:pPr>
              <w:pStyle w:val="NoSpacing"/>
              <w:jc w:val="center"/>
            </w:pPr>
          </w:p>
          <w:p w14:paraId="260717C2" w14:textId="77777777" w:rsidR="00405DCF" w:rsidRDefault="00405DCF" w:rsidP="00571B40">
            <w:pPr>
              <w:pStyle w:val="NoSpacing"/>
              <w:jc w:val="center"/>
            </w:pPr>
          </w:p>
          <w:p w14:paraId="79273900" w14:textId="77777777" w:rsidR="00405DCF" w:rsidRDefault="00405DCF" w:rsidP="00571B40">
            <w:pPr>
              <w:pStyle w:val="NoSpacing"/>
              <w:jc w:val="center"/>
            </w:pPr>
          </w:p>
          <w:p w14:paraId="70C2B8CC" w14:textId="77777777" w:rsidR="00405DCF" w:rsidRDefault="00405DCF" w:rsidP="00571B40">
            <w:pPr>
              <w:pStyle w:val="NoSpacing"/>
              <w:jc w:val="center"/>
            </w:pPr>
          </w:p>
          <w:p w14:paraId="7938576D" w14:textId="77777777" w:rsidR="00405DCF" w:rsidRDefault="00405DCF" w:rsidP="00571B40">
            <w:pPr>
              <w:pStyle w:val="NoSpacing"/>
              <w:jc w:val="center"/>
            </w:pPr>
          </w:p>
          <w:p w14:paraId="017EF167" w14:textId="77777777" w:rsidR="00405DCF" w:rsidRDefault="00405DCF" w:rsidP="00571B40">
            <w:pPr>
              <w:pStyle w:val="NoSpacing"/>
              <w:jc w:val="center"/>
            </w:pPr>
          </w:p>
          <w:p w14:paraId="7DFFB92E" w14:textId="77777777" w:rsidR="00405DCF" w:rsidRDefault="00405DCF" w:rsidP="00571B40">
            <w:pPr>
              <w:pStyle w:val="NoSpacing"/>
              <w:jc w:val="center"/>
            </w:pPr>
          </w:p>
          <w:p w14:paraId="567025D4" w14:textId="77777777" w:rsidR="00405DCF" w:rsidRDefault="00405DCF" w:rsidP="00571B40">
            <w:pPr>
              <w:pStyle w:val="NoSpacing"/>
              <w:jc w:val="center"/>
            </w:pPr>
          </w:p>
          <w:p w14:paraId="27680EA8" w14:textId="77777777" w:rsidR="00405DCF" w:rsidRDefault="00405DCF" w:rsidP="00571B40">
            <w:pPr>
              <w:pStyle w:val="NoSpacing"/>
              <w:jc w:val="center"/>
            </w:pPr>
          </w:p>
          <w:p w14:paraId="5E07184C" w14:textId="77777777" w:rsidR="00405DCF" w:rsidRDefault="00405DCF" w:rsidP="00571B40">
            <w:pPr>
              <w:pStyle w:val="NoSpacing"/>
              <w:jc w:val="center"/>
            </w:pPr>
          </w:p>
          <w:p w14:paraId="513C1092" w14:textId="77777777" w:rsidR="00405DCF" w:rsidRPr="00571B40" w:rsidRDefault="00405DCF" w:rsidP="00571B40">
            <w:pPr>
              <w:pStyle w:val="NoSpacing"/>
              <w:jc w:val="center"/>
            </w:pPr>
          </w:p>
          <w:p w14:paraId="7F6DFF5A" w14:textId="77777777" w:rsidR="00571B40" w:rsidRPr="00571B40" w:rsidRDefault="00571B40" w:rsidP="00571B40">
            <w:pPr>
              <w:pStyle w:val="NoSpacing"/>
              <w:jc w:val="center"/>
            </w:pPr>
          </w:p>
        </w:tc>
        <w:tc>
          <w:tcPr>
            <w:tcW w:w="1116" w:type="dxa"/>
          </w:tcPr>
          <w:p w14:paraId="39EA1A34" w14:textId="77777777" w:rsidR="00571B40" w:rsidRPr="00571B40" w:rsidRDefault="00571B40" w:rsidP="00571B40">
            <w:pPr>
              <w:pStyle w:val="NoSpacing"/>
              <w:jc w:val="center"/>
            </w:pPr>
          </w:p>
        </w:tc>
      </w:tr>
      <w:tr w:rsidR="00571B40" w:rsidRPr="00571B40" w14:paraId="6CDEA9A5" w14:textId="77777777" w:rsidTr="00571B40">
        <w:tc>
          <w:tcPr>
            <w:tcW w:w="2382" w:type="dxa"/>
          </w:tcPr>
          <w:p w14:paraId="35E9D6A4" w14:textId="77777777" w:rsidR="00571B40" w:rsidRPr="00571B40" w:rsidRDefault="00571B40" w:rsidP="00571B40">
            <w:pPr>
              <w:pStyle w:val="NoSpacing"/>
              <w:jc w:val="center"/>
            </w:pPr>
            <w:r w:rsidRPr="00571B40">
              <w:lastRenderedPageBreak/>
              <w:t xml:space="preserve">Constitutional Court Judgment </w:t>
            </w:r>
            <w:r w:rsidRPr="00571B40">
              <w:rPr>
                <w:lang w:val="en-US"/>
              </w:rPr>
              <w:t>No. 2005-13-0106</w:t>
            </w:r>
            <w:r w:rsidRPr="00571B40">
              <w:t xml:space="preserve"> </w:t>
            </w:r>
            <w:r w:rsidRPr="00571B40">
              <w:rPr>
                <w:lang w:val="en-US"/>
              </w:rPr>
              <w:t>“On the Compliance of Section 5 (Items 5 and 6) of the Saeima Election Law and Section 9 (Items 5 and 6 of the first Paragraph) of the City Dome, District Council and Rural District Council Election Law with Sections 1, 9, 91 and 101 of the Republic of Latvia Satversme (Constitution) as well as with Sections 25 and 26 of the International Covenant on Civil and Political Rights”.</w:t>
            </w:r>
          </w:p>
          <w:p w14:paraId="66DC2592" w14:textId="77777777" w:rsidR="00571B40" w:rsidRPr="00571B40" w:rsidRDefault="00571B40" w:rsidP="00571B40">
            <w:pPr>
              <w:pStyle w:val="NoSpacing"/>
              <w:jc w:val="center"/>
            </w:pPr>
          </w:p>
        </w:tc>
        <w:tc>
          <w:tcPr>
            <w:tcW w:w="3431" w:type="dxa"/>
          </w:tcPr>
          <w:p w14:paraId="269A43A2" w14:textId="77777777" w:rsidR="00571B40" w:rsidRPr="00571B40" w:rsidRDefault="00571B40" w:rsidP="00571B40">
            <w:pPr>
              <w:pStyle w:val="NoSpacing"/>
              <w:jc w:val="center"/>
              <w:rPr>
                <w:i/>
              </w:rPr>
            </w:pPr>
          </w:p>
        </w:tc>
        <w:tc>
          <w:tcPr>
            <w:tcW w:w="1357" w:type="dxa"/>
          </w:tcPr>
          <w:p w14:paraId="07215F6B" w14:textId="77777777" w:rsidR="00571B40" w:rsidRPr="00571B40" w:rsidRDefault="00571B40" w:rsidP="00571B40">
            <w:pPr>
              <w:pStyle w:val="NoSpacing"/>
              <w:jc w:val="center"/>
            </w:pPr>
            <w:r w:rsidRPr="00571B40">
              <w:t>15.06.2006</w:t>
            </w:r>
          </w:p>
        </w:tc>
        <w:tc>
          <w:tcPr>
            <w:tcW w:w="2346" w:type="dxa"/>
          </w:tcPr>
          <w:p w14:paraId="26563CE0" w14:textId="77777777" w:rsidR="00571B40" w:rsidRPr="00571B40" w:rsidRDefault="005464F8" w:rsidP="00571B40">
            <w:pPr>
              <w:pStyle w:val="NoSpacing"/>
              <w:jc w:val="center"/>
            </w:pPr>
            <w:hyperlink r:id="rId29" w:history="1">
              <w:r w:rsidR="00571B40" w:rsidRPr="00571B40">
                <w:rPr>
                  <w:rStyle w:val="Hyperlink"/>
                </w:rPr>
                <w:t>http://www.satv.tiesa.gov.lv/upload/2005-13-0106E.rtf</w:t>
              </w:r>
            </w:hyperlink>
          </w:p>
          <w:p w14:paraId="556A2F45" w14:textId="77777777" w:rsidR="00571B40" w:rsidRPr="00571B40" w:rsidRDefault="00571B40" w:rsidP="00571B40">
            <w:pPr>
              <w:pStyle w:val="NoSpacing"/>
              <w:jc w:val="center"/>
            </w:pPr>
          </w:p>
        </w:tc>
        <w:tc>
          <w:tcPr>
            <w:tcW w:w="1116" w:type="dxa"/>
          </w:tcPr>
          <w:p w14:paraId="65A4585C" w14:textId="77777777" w:rsidR="00571B40" w:rsidRPr="00571B40" w:rsidRDefault="00571B40" w:rsidP="00571B40">
            <w:pPr>
              <w:pStyle w:val="NoSpacing"/>
              <w:jc w:val="center"/>
            </w:pPr>
            <w:r w:rsidRPr="00571B40">
              <w:t>Yes</w:t>
            </w:r>
          </w:p>
        </w:tc>
      </w:tr>
      <w:tr w:rsidR="00571B40" w:rsidRPr="00571B40" w14:paraId="217137D8" w14:textId="77777777" w:rsidTr="00571B40">
        <w:tc>
          <w:tcPr>
            <w:tcW w:w="2382" w:type="dxa"/>
          </w:tcPr>
          <w:p w14:paraId="351F122F" w14:textId="77777777" w:rsidR="00571B40" w:rsidRPr="00571B40" w:rsidRDefault="00571B40" w:rsidP="00571B40">
            <w:pPr>
              <w:pStyle w:val="NoSpacing"/>
              <w:jc w:val="center"/>
            </w:pPr>
          </w:p>
        </w:tc>
        <w:tc>
          <w:tcPr>
            <w:tcW w:w="3431" w:type="dxa"/>
          </w:tcPr>
          <w:p w14:paraId="040956A4" w14:textId="77777777" w:rsidR="00571B40" w:rsidRPr="00571B40" w:rsidRDefault="00571B40" w:rsidP="00571B40">
            <w:pPr>
              <w:pStyle w:val="NoSpacing"/>
              <w:jc w:val="center"/>
            </w:pPr>
            <w:r w:rsidRPr="00571B40">
              <w:rPr>
                <w:i/>
              </w:rPr>
              <w:t>Amendments to the Saeima Election Law</w:t>
            </w:r>
            <w:r w:rsidRPr="00571B40">
              <w:rPr>
                <w:vertAlign w:val="superscript"/>
              </w:rPr>
              <w:footnoteReference w:id="13"/>
            </w:r>
          </w:p>
          <w:p w14:paraId="754D8294" w14:textId="77777777" w:rsidR="00571B40" w:rsidRPr="00571B40" w:rsidRDefault="00571B40" w:rsidP="00571B40">
            <w:pPr>
              <w:pStyle w:val="NoSpacing"/>
              <w:jc w:val="center"/>
              <w:rPr>
                <w:bCs/>
                <w:lang w:val="en-US"/>
              </w:rPr>
            </w:pPr>
          </w:p>
        </w:tc>
        <w:tc>
          <w:tcPr>
            <w:tcW w:w="1357" w:type="dxa"/>
          </w:tcPr>
          <w:p w14:paraId="39976007" w14:textId="77777777" w:rsidR="00571B40" w:rsidRPr="00571B40" w:rsidRDefault="00571B40" w:rsidP="00571B40">
            <w:pPr>
              <w:pStyle w:val="NoSpacing"/>
              <w:jc w:val="center"/>
            </w:pPr>
            <w:r w:rsidRPr="00571B40">
              <w:t>28.06.2007</w:t>
            </w:r>
          </w:p>
        </w:tc>
        <w:tc>
          <w:tcPr>
            <w:tcW w:w="2346" w:type="dxa"/>
          </w:tcPr>
          <w:p w14:paraId="7F4BB48C" w14:textId="77777777" w:rsidR="00571B40" w:rsidRPr="00571B40" w:rsidRDefault="005464F8" w:rsidP="00571B40">
            <w:pPr>
              <w:pStyle w:val="NoSpacing"/>
              <w:jc w:val="center"/>
            </w:pPr>
            <w:hyperlink r:id="rId30" w:history="1">
              <w:r w:rsidR="00571B40" w:rsidRPr="00571B40">
                <w:rPr>
                  <w:rStyle w:val="Hyperlink"/>
                </w:rPr>
                <w:t>http://www.likumi.lv/doc.php?id=158774</w:t>
              </w:r>
            </w:hyperlink>
          </w:p>
        </w:tc>
        <w:tc>
          <w:tcPr>
            <w:tcW w:w="1116" w:type="dxa"/>
          </w:tcPr>
          <w:p w14:paraId="165A4E0E" w14:textId="77777777" w:rsidR="00571B40" w:rsidRPr="00571B40" w:rsidRDefault="00571B40" w:rsidP="00571B40">
            <w:pPr>
              <w:pStyle w:val="NoSpacing"/>
              <w:jc w:val="center"/>
            </w:pPr>
          </w:p>
        </w:tc>
      </w:tr>
      <w:tr w:rsidR="00571B40" w:rsidRPr="00571B40" w14:paraId="1F464962" w14:textId="77777777" w:rsidTr="00571B40">
        <w:tc>
          <w:tcPr>
            <w:tcW w:w="2382" w:type="dxa"/>
          </w:tcPr>
          <w:p w14:paraId="0F781B42" w14:textId="77777777" w:rsidR="00571B40" w:rsidRPr="00571B40" w:rsidRDefault="00571B40" w:rsidP="00571B40">
            <w:pPr>
              <w:pStyle w:val="NoSpacing"/>
              <w:jc w:val="center"/>
            </w:pPr>
          </w:p>
        </w:tc>
        <w:tc>
          <w:tcPr>
            <w:tcW w:w="3431" w:type="dxa"/>
          </w:tcPr>
          <w:p w14:paraId="0DBA78E3" w14:textId="77777777" w:rsidR="00571B40" w:rsidRPr="00571B40" w:rsidRDefault="00571B40" w:rsidP="00571B40">
            <w:pPr>
              <w:pStyle w:val="NoSpacing"/>
              <w:jc w:val="center"/>
            </w:pPr>
            <w:r w:rsidRPr="00571B40">
              <w:rPr>
                <w:i/>
              </w:rPr>
              <w:t>Amendments to the Saeima Election Law</w:t>
            </w:r>
            <w:r w:rsidRPr="00571B40">
              <w:rPr>
                <w:vertAlign w:val="superscript"/>
              </w:rPr>
              <w:footnoteReference w:id="14"/>
            </w:r>
          </w:p>
          <w:p w14:paraId="45BC6200" w14:textId="77777777" w:rsidR="00571B40" w:rsidRPr="00571B40" w:rsidRDefault="00571B40" w:rsidP="00571B40">
            <w:pPr>
              <w:pStyle w:val="NoSpacing"/>
              <w:jc w:val="center"/>
            </w:pPr>
          </w:p>
        </w:tc>
        <w:tc>
          <w:tcPr>
            <w:tcW w:w="1357" w:type="dxa"/>
          </w:tcPr>
          <w:p w14:paraId="6708630E" w14:textId="77777777" w:rsidR="00571B40" w:rsidRPr="00571B40" w:rsidRDefault="00571B40" w:rsidP="00571B40">
            <w:pPr>
              <w:pStyle w:val="NoSpacing"/>
              <w:jc w:val="center"/>
              <w:rPr>
                <w:bCs/>
                <w:lang w:val="en-US"/>
              </w:rPr>
            </w:pPr>
            <w:r w:rsidRPr="00571B40">
              <w:rPr>
                <w:bCs/>
                <w:lang w:val="en-US"/>
              </w:rPr>
              <w:t>01.04.2009</w:t>
            </w:r>
          </w:p>
        </w:tc>
        <w:tc>
          <w:tcPr>
            <w:tcW w:w="2346" w:type="dxa"/>
          </w:tcPr>
          <w:p w14:paraId="47CCEDBF" w14:textId="77777777" w:rsidR="00571B40" w:rsidRPr="00571B40" w:rsidRDefault="005464F8" w:rsidP="00571B40">
            <w:pPr>
              <w:pStyle w:val="NoSpacing"/>
              <w:jc w:val="center"/>
            </w:pPr>
            <w:hyperlink r:id="rId31" w:history="1">
              <w:r w:rsidR="00571B40" w:rsidRPr="00571B40">
                <w:rPr>
                  <w:rStyle w:val="Hyperlink"/>
                </w:rPr>
                <w:t>http://www.likumi.lv/doc.php?id=189303</w:t>
              </w:r>
            </w:hyperlink>
          </w:p>
        </w:tc>
        <w:tc>
          <w:tcPr>
            <w:tcW w:w="1116" w:type="dxa"/>
          </w:tcPr>
          <w:p w14:paraId="1BC9942D" w14:textId="77777777" w:rsidR="00571B40" w:rsidRPr="00571B40" w:rsidRDefault="00571B40" w:rsidP="00571B40">
            <w:pPr>
              <w:pStyle w:val="NoSpacing"/>
              <w:jc w:val="center"/>
            </w:pPr>
            <w:r w:rsidRPr="00571B40">
              <w:t>Yes</w:t>
            </w:r>
          </w:p>
        </w:tc>
      </w:tr>
      <w:tr w:rsidR="00571B40" w:rsidRPr="00571B40" w14:paraId="4EECE894" w14:textId="77777777" w:rsidTr="00571B40">
        <w:tc>
          <w:tcPr>
            <w:tcW w:w="2382" w:type="dxa"/>
          </w:tcPr>
          <w:p w14:paraId="6679EF91" w14:textId="77777777" w:rsidR="00571B40" w:rsidRPr="00571B40" w:rsidRDefault="00571B40" w:rsidP="00571B40">
            <w:pPr>
              <w:pStyle w:val="NoSpacing"/>
              <w:jc w:val="center"/>
            </w:pPr>
          </w:p>
        </w:tc>
        <w:tc>
          <w:tcPr>
            <w:tcW w:w="3431" w:type="dxa"/>
          </w:tcPr>
          <w:p w14:paraId="6EE88C01" w14:textId="77777777" w:rsidR="00571B40" w:rsidRPr="00571B40" w:rsidRDefault="00571B40" w:rsidP="00571B40">
            <w:pPr>
              <w:pStyle w:val="NoSpacing"/>
              <w:jc w:val="center"/>
              <w:rPr>
                <w:i/>
              </w:rPr>
            </w:pPr>
            <w:r w:rsidRPr="00571B40">
              <w:rPr>
                <w:i/>
              </w:rPr>
              <w:t>Amendments to the Saeima Election Law</w:t>
            </w:r>
            <w:r w:rsidRPr="00571B40">
              <w:rPr>
                <w:vertAlign w:val="superscript"/>
              </w:rPr>
              <w:footnoteReference w:id="15"/>
            </w:r>
          </w:p>
          <w:p w14:paraId="6A4FE5A4" w14:textId="77777777" w:rsidR="00571B40" w:rsidRPr="00571B40" w:rsidRDefault="00571B40" w:rsidP="00571B40">
            <w:pPr>
              <w:pStyle w:val="NoSpacing"/>
              <w:jc w:val="center"/>
              <w:rPr>
                <w:bCs/>
                <w:lang w:val="en-US"/>
              </w:rPr>
            </w:pPr>
          </w:p>
        </w:tc>
        <w:tc>
          <w:tcPr>
            <w:tcW w:w="1357" w:type="dxa"/>
          </w:tcPr>
          <w:p w14:paraId="1629B858" w14:textId="77777777" w:rsidR="00571B40" w:rsidRPr="00571B40" w:rsidRDefault="00571B40" w:rsidP="00571B40">
            <w:pPr>
              <w:pStyle w:val="NoSpacing"/>
              <w:jc w:val="center"/>
            </w:pPr>
            <w:r w:rsidRPr="00571B40">
              <w:t>04.05.2010</w:t>
            </w:r>
          </w:p>
        </w:tc>
        <w:tc>
          <w:tcPr>
            <w:tcW w:w="2346" w:type="dxa"/>
          </w:tcPr>
          <w:p w14:paraId="5991D3CC" w14:textId="7D14F670" w:rsidR="00571B40" w:rsidRPr="00571B40" w:rsidRDefault="005464F8" w:rsidP="00571B40">
            <w:pPr>
              <w:pStyle w:val="NoSpacing"/>
              <w:jc w:val="center"/>
            </w:pPr>
            <w:hyperlink r:id="rId32" w:history="1">
              <w:r w:rsidR="00571B40" w:rsidRPr="00571B40">
                <w:rPr>
                  <w:rStyle w:val="Hyperlink"/>
                </w:rPr>
                <w:t>http://www.likumi.lv/doc.php?id=208270</w:t>
              </w:r>
            </w:hyperlink>
          </w:p>
          <w:p w14:paraId="4A770C0E" w14:textId="77777777" w:rsidR="00571B40" w:rsidRPr="00571B40" w:rsidRDefault="00571B40" w:rsidP="00571B40">
            <w:pPr>
              <w:pStyle w:val="NoSpacing"/>
              <w:jc w:val="center"/>
            </w:pPr>
          </w:p>
          <w:p w14:paraId="541651D9" w14:textId="77777777" w:rsidR="00571B40" w:rsidRPr="00571B40" w:rsidRDefault="00571B40" w:rsidP="00571B40">
            <w:pPr>
              <w:pStyle w:val="NoSpacing"/>
              <w:jc w:val="center"/>
            </w:pPr>
            <w:r w:rsidRPr="00571B40">
              <w:t>English translation:</w:t>
            </w:r>
          </w:p>
          <w:p w14:paraId="774EC6B9" w14:textId="283F1030" w:rsidR="00571B40" w:rsidRPr="00571B40" w:rsidRDefault="005464F8" w:rsidP="00571B40">
            <w:pPr>
              <w:pStyle w:val="NoSpacing"/>
              <w:jc w:val="center"/>
            </w:pPr>
            <w:hyperlink r:id="rId33" w:history="1">
              <w:r w:rsidR="00571B40" w:rsidRPr="00571B40">
                <w:rPr>
                  <w:rStyle w:val="Hyperlink"/>
                </w:rPr>
                <w:t>http://www.saeima.lv/en/about-saeima/saeimas-velesanas-1/saeimas-velesanu-likums-1</w:t>
              </w:r>
            </w:hyperlink>
          </w:p>
          <w:p w14:paraId="242A9FB2" w14:textId="77777777" w:rsidR="00571B40" w:rsidRPr="00571B40" w:rsidRDefault="00571B40" w:rsidP="00571B40">
            <w:pPr>
              <w:pStyle w:val="NoSpacing"/>
              <w:jc w:val="center"/>
            </w:pPr>
          </w:p>
        </w:tc>
        <w:tc>
          <w:tcPr>
            <w:tcW w:w="1116" w:type="dxa"/>
          </w:tcPr>
          <w:p w14:paraId="123D2624" w14:textId="77777777" w:rsidR="00571B40" w:rsidRPr="00571B40" w:rsidRDefault="00571B40" w:rsidP="00571B40">
            <w:pPr>
              <w:pStyle w:val="NoSpacing"/>
              <w:jc w:val="center"/>
            </w:pPr>
          </w:p>
        </w:tc>
      </w:tr>
      <w:tr w:rsidR="00571B40" w:rsidRPr="00571B40" w14:paraId="5398DA91" w14:textId="77777777" w:rsidTr="00571B40">
        <w:tc>
          <w:tcPr>
            <w:tcW w:w="2382" w:type="dxa"/>
          </w:tcPr>
          <w:p w14:paraId="71A343C3" w14:textId="77777777" w:rsidR="00571B40" w:rsidRPr="00571B40" w:rsidRDefault="00571B40" w:rsidP="00571B40">
            <w:pPr>
              <w:pStyle w:val="NoSpacing"/>
              <w:jc w:val="center"/>
            </w:pPr>
          </w:p>
        </w:tc>
        <w:tc>
          <w:tcPr>
            <w:tcW w:w="3431" w:type="dxa"/>
          </w:tcPr>
          <w:p w14:paraId="1F6B936B" w14:textId="77777777" w:rsidR="00571B40" w:rsidRPr="00571B40" w:rsidRDefault="00571B40" w:rsidP="00571B40">
            <w:pPr>
              <w:pStyle w:val="NoSpacing"/>
              <w:jc w:val="center"/>
              <w:rPr>
                <w:i/>
              </w:rPr>
            </w:pPr>
          </w:p>
          <w:p w14:paraId="7D0321D8" w14:textId="77777777" w:rsidR="00571B40" w:rsidRPr="00571B40" w:rsidRDefault="00571B40" w:rsidP="00571B40">
            <w:pPr>
              <w:pStyle w:val="NoSpacing"/>
              <w:jc w:val="center"/>
              <w:rPr>
                <w:i/>
              </w:rPr>
            </w:pPr>
            <w:r w:rsidRPr="00571B40">
              <w:rPr>
                <w:i/>
              </w:rPr>
              <w:t>Amendments to the Saeima Election Law</w:t>
            </w:r>
          </w:p>
        </w:tc>
        <w:tc>
          <w:tcPr>
            <w:tcW w:w="1357" w:type="dxa"/>
          </w:tcPr>
          <w:p w14:paraId="7C366196" w14:textId="77777777" w:rsidR="00571B40" w:rsidRPr="00571B40" w:rsidRDefault="00571B40" w:rsidP="00571B40">
            <w:pPr>
              <w:pStyle w:val="NoSpacing"/>
              <w:jc w:val="center"/>
            </w:pPr>
          </w:p>
          <w:p w14:paraId="4D4ABD17" w14:textId="77777777" w:rsidR="00571B40" w:rsidRPr="00571B40" w:rsidRDefault="00571B40" w:rsidP="00571B40">
            <w:pPr>
              <w:pStyle w:val="NoSpacing"/>
              <w:jc w:val="center"/>
            </w:pPr>
            <w:r w:rsidRPr="00571B40">
              <w:t>24.03.2011</w:t>
            </w:r>
          </w:p>
        </w:tc>
        <w:tc>
          <w:tcPr>
            <w:tcW w:w="2346" w:type="dxa"/>
          </w:tcPr>
          <w:p w14:paraId="4744F019" w14:textId="165CD1B0" w:rsidR="00571B40" w:rsidRPr="00571B40" w:rsidRDefault="005464F8" w:rsidP="00571B40">
            <w:pPr>
              <w:pStyle w:val="NoSpacing"/>
              <w:jc w:val="center"/>
            </w:pPr>
            <w:hyperlink r:id="rId34" w:history="1">
              <w:r w:rsidR="00571B40" w:rsidRPr="00571B40">
                <w:rPr>
                  <w:rStyle w:val="Hyperlink"/>
                </w:rPr>
                <w:t>http://www.likumi.lv/doc.php?id=227548</w:t>
              </w:r>
            </w:hyperlink>
          </w:p>
        </w:tc>
        <w:tc>
          <w:tcPr>
            <w:tcW w:w="1116" w:type="dxa"/>
          </w:tcPr>
          <w:p w14:paraId="3ABBD9A1" w14:textId="77777777" w:rsidR="00571B40" w:rsidRPr="00571B40" w:rsidRDefault="00571B40" w:rsidP="00571B40">
            <w:pPr>
              <w:pStyle w:val="NoSpacing"/>
              <w:jc w:val="center"/>
            </w:pPr>
            <w:r w:rsidRPr="00571B40">
              <w:t>Yes</w:t>
            </w:r>
          </w:p>
        </w:tc>
      </w:tr>
    </w:tbl>
    <w:p w14:paraId="3FFE913D" w14:textId="77777777" w:rsidR="00B84F13" w:rsidRDefault="00B84F13" w:rsidP="00B84F13">
      <w:pPr>
        <w:pStyle w:val="NoSpacing"/>
        <w:jc w:val="both"/>
        <w:rPr>
          <w:b/>
        </w:rPr>
      </w:pPr>
    </w:p>
    <w:p w14:paraId="0A761FEF" w14:textId="77777777" w:rsidR="00C94044" w:rsidRDefault="00C94044" w:rsidP="007614A7">
      <w:pPr>
        <w:pStyle w:val="NoSpacing"/>
        <w:spacing w:line="23" w:lineRule="atLeast"/>
        <w:jc w:val="both"/>
        <w:rPr>
          <w:b/>
          <w:sz w:val="28"/>
          <w:szCs w:val="28"/>
        </w:rPr>
      </w:pPr>
    </w:p>
    <w:p w14:paraId="01E51506" w14:textId="77777777" w:rsidR="00571B40" w:rsidRDefault="00571B40" w:rsidP="007614A7">
      <w:pPr>
        <w:pStyle w:val="NoSpacing"/>
        <w:spacing w:line="23" w:lineRule="atLeast"/>
        <w:jc w:val="both"/>
        <w:rPr>
          <w:b/>
          <w:sz w:val="28"/>
          <w:szCs w:val="28"/>
        </w:rPr>
      </w:pPr>
    </w:p>
    <w:p w14:paraId="576498EE" w14:textId="7DB0F788" w:rsidR="0005588E" w:rsidRDefault="0005588E" w:rsidP="007614A7">
      <w:pPr>
        <w:pStyle w:val="NoSpacing"/>
        <w:spacing w:line="23" w:lineRule="atLeast"/>
        <w:jc w:val="both"/>
        <w:rPr>
          <w:b/>
          <w:sz w:val="28"/>
          <w:szCs w:val="28"/>
        </w:rPr>
      </w:pPr>
      <w:r w:rsidRPr="00E34F32">
        <w:rPr>
          <w:b/>
          <w:sz w:val="28"/>
          <w:szCs w:val="28"/>
        </w:rPr>
        <w:lastRenderedPageBreak/>
        <w:t xml:space="preserve">Section 3: Details of previous electoral systems and electoral system changes.  </w:t>
      </w:r>
    </w:p>
    <w:p w14:paraId="4464A35A" w14:textId="77777777" w:rsidR="004B7E51" w:rsidRPr="00C54547" w:rsidRDefault="004B7E51" w:rsidP="007614A7">
      <w:pPr>
        <w:pStyle w:val="NoSpacing"/>
        <w:spacing w:line="23" w:lineRule="atLeast"/>
        <w:jc w:val="both"/>
        <w:rPr>
          <w:b/>
          <w:i/>
          <w:sz w:val="28"/>
          <w:szCs w:val="28"/>
        </w:rPr>
      </w:pPr>
    </w:p>
    <w:p w14:paraId="7F38729E" w14:textId="08549FA3" w:rsidR="00571B40" w:rsidRPr="00405DCF" w:rsidRDefault="00571B40" w:rsidP="00571B40">
      <w:pPr>
        <w:pStyle w:val="Heading2"/>
        <w:jc w:val="both"/>
        <w:rPr>
          <w:rFonts w:ascii="Calibri" w:eastAsia="Times New Roman" w:hAnsi="Calibri" w:cs="Calibri"/>
          <w:iCs w:val="0"/>
          <w:sz w:val="22"/>
          <w:szCs w:val="22"/>
          <w:lang w:val="en-GB" w:eastAsia="sk-SK"/>
        </w:rPr>
      </w:pPr>
      <w:bookmarkStart w:id="10" w:name="_Toc297204334"/>
      <w:bookmarkStart w:id="11" w:name="_Toc297204681"/>
      <w:bookmarkStart w:id="12" w:name="_Toc297204742"/>
      <w:bookmarkStart w:id="13" w:name="_Toc297204906"/>
      <w:bookmarkStart w:id="14" w:name="_Toc297206005"/>
      <w:bookmarkStart w:id="15" w:name="_Toc297215885"/>
      <w:bookmarkStart w:id="16" w:name="_Toc297227832"/>
      <w:bookmarkStart w:id="17" w:name="_Toc297228357"/>
      <w:bookmarkStart w:id="18" w:name="_Toc204250507"/>
      <w:r w:rsidRPr="00405DCF">
        <w:rPr>
          <w:rFonts w:ascii="Calibri" w:eastAsia="Times New Roman" w:hAnsi="Calibri" w:cs="Calibri"/>
          <w:iCs w:val="0"/>
          <w:sz w:val="22"/>
          <w:szCs w:val="22"/>
          <w:lang w:val="en-GB" w:eastAsia="sk-SK"/>
        </w:rPr>
        <w:t>3.</w:t>
      </w:r>
      <w:r w:rsidR="00405DCF" w:rsidRPr="00405DCF">
        <w:rPr>
          <w:rFonts w:ascii="Calibri" w:eastAsia="Times New Roman" w:hAnsi="Calibri" w:cs="Calibri"/>
          <w:iCs w:val="0"/>
          <w:sz w:val="22"/>
          <w:szCs w:val="22"/>
          <w:lang w:val="en-GB" w:eastAsia="sk-SK"/>
        </w:rPr>
        <w:t>1</w:t>
      </w:r>
      <w:r w:rsidRPr="00405DCF">
        <w:rPr>
          <w:rFonts w:ascii="Calibri" w:eastAsia="Times New Roman" w:hAnsi="Calibri" w:cs="Calibri"/>
          <w:iCs w:val="0"/>
          <w:sz w:val="22"/>
          <w:szCs w:val="22"/>
          <w:lang w:val="en-GB" w:eastAsia="sk-SK"/>
        </w:rPr>
        <w:t xml:space="preserve"> The </w:t>
      </w:r>
      <w:bookmarkEnd w:id="10"/>
      <w:bookmarkEnd w:id="11"/>
      <w:bookmarkEnd w:id="12"/>
      <w:bookmarkEnd w:id="13"/>
      <w:bookmarkEnd w:id="14"/>
      <w:bookmarkEnd w:id="15"/>
      <w:bookmarkEnd w:id="16"/>
      <w:bookmarkEnd w:id="17"/>
      <w:r w:rsidRPr="00405DCF">
        <w:rPr>
          <w:rFonts w:ascii="Calibri" w:eastAsia="Times New Roman" w:hAnsi="Calibri" w:cs="Calibri"/>
          <w:iCs w:val="0"/>
          <w:sz w:val="22"/>
          <w:szCs w:val="22"/>
          <w:lang w:val="en-GB" w:eastAsia="sk-SK"/>
        </w:rPr>
        <w:t>1992 Law</w:t>
      </w:r>
    </w:p>
    <w:p w14:paraId="3392089E" w14:textId="77777777" w:rsidR="00571B40" w:rsidRPr="00571B40" w:rsidRDefault="00571B40" w:rsidP="00571B40">
      <w:pPr>
        <w:spacing w:after="0" w:line="240" w:lineRule="auto"/>
        <w:jc w:val="both"/>
        <w:rPr>
          <w:rFonts w:eastAsia="Calibri"/>
          <w:sz w:val="22"/>
          <w:szCs w:val="22"/>
          <w:lang w:val="en-GB"/>
        </w:rPr>
      </w:pPr>
      <w:r w:rsidRPr="00571B40">
        <w:rPr>
          <w:rFonts w:eastAsia="Calibri"/>
          <w:sz w:val="22"/>
          <w:szCs w:val="22"/>
          <w:lang w:val="en-GB"/>
        </w:rPr>
        <w:t>According to Mikkel and Pettai, as stated earlier, while the electoral system of SMDs was preferred by those, such as former Communists, wishing to run independently without party affiliation, those from other parties favoured a PR party list system (Mikkel &amp; Pettai 2004). The preamble to the October 1992 law describes the provisions as based on those in operation at the time of the 9 June 1922 elections.</w:t>
      </w:r>
      <w:r w:rsidRPr="00571B40">
        <w:rPr>
          <w:rFonts w:eastAsia="Calibri"/>
          <w:sz w:val="22"/>
          <w:szCs w:val="22"/>
          <w:vertAlign w:val="superscript"/>
          <w:lang w:val="en-GB"/>
        </w:rPr>
        <w:footnoteReference w:id="16"/>
      </w:r>
      <w:r w:rsidRPr="00571B40">
        <w:rPr>
          <w:rFonts w:eastAsia="Calibri"/>
          <w:sz w:val="22"/>
          <w:szCs w:val="22"/>
          <w:lang w:val="en-GB"/>
        </w:rPr>
        <w:t xml:space="preserve"> The 1992 law increased the threshold from two per cent, as set in the 1922 law, to four per cent.</w:t>
      </w:r>
      <w:r w:rsidRPr="00571B40">
        <w:rPr>
          <w:rFonts w:eastAsia="Calibri"/>
          <w:sz w:val="22"/>
          <w:szCs w:val="22"/>
          <w:vertAlign w:val="superscript"/>
          <w:lang w:val="en-GB"/>
        </w:rPr>
        <w:footnoteReference w:id="17"/>
      </w:r>
      <w:r w:rsidRPr="00571B40">
        <w:rPr>
          <w:rFonts w:eastAsia="Calibri"/>
          <w:sz w:val="22"/>
          <w:szCs w:val="22"/>
          <w:lang w:val="en-GB"/>
        </w:rPr>
        <w:t xml:space="preserve"> (Mikkel &amp; Pettai 2004 p 338) This same threshold applies equally to both parties and coalitions.</w:t>
      </w:r>
    </w:p>
    <w:p w14:paraId="25DBEC87" w14:textId="1FCD4840" w:rsidR="00571B40" w:rsidRPr="00571B40" w:rsidRDefault="00571B40" w:rsidP="00405DCF">
      <w:pPr>
        <w:keepNext/>
        <w:spacing w:before="240" w:after="60" w:line="240" w:lineRule="auto"/>
        <w:jc w:val="both"/>
        <w:outlineLvl w:val="2"/>
        <w:rPr>
          <w:rFonts w:eastAsia="Calibri"/>
          <w:sz w:val="22"/>
          <w:szCs w:val="22"/>
          <w:lang w:val="en-GB"/>
        </w:rPr>
      </w:pPr>
      <w:bookmarkStart w:id="19" w:name="_Toc297206007"/>
      <w:bookmarkStart w:id="20" w:name="_Toc297215888"/>
      <w:bookmarkStart w:id="21" w:name="_Toc297227835"/>
      <w:bookmarkStart w:id="22" w:name="_Toc297228360"/>
      <w:r w:rsidRPr="00571B40">
        <w:rPr>
          <w:rFonts w:eastAsia="Times New Roman"/>
          <w:bCs/>
          <w:i/>
          <w:sz w:val="22"/>
          <w:szCs w:val="22"/>
          <w:lang w:val="en-GB" w:eastAsia="sk-SK"/>
        </w:rPr>
        <w:t>Allocation of mandates</w:t>
      </w:r>
      <w:bookmarkEnd w:id="19"/>
      <w:bookmarkEnd w:id="20"/>
      <w:bookmarkEnd w:id="21"/>
      <w:bookmarkEnd w:id="22"/>
      <w:r w:rsidR="00405DCF">
        <w:rPr>
          <w:rFonts w:eastAsia="Times New Roman"/>
          <w:bCs/>
          <w:i/>
          <w:sz w:val="22"/>
          <w:szCs w:val="22"/>
          <w:lang w:val="en-GB" w:eastAsia="sk-SK"/>
        </w:rPr>
        <w:t xml:space="preserve"> </w:t>
      </w:r>
      <w:proofErr w:type="gramStart"/>
      <w:r w:rsidRPr="00571B40">
        <w:rPr>
          <w:rFonts w:eastAsia="Calibri"/>
          <w:sz w:val="22"/>
          <w:szCs w:val="22"/>
          <w:lang w:val="en-GB"/>
        </w:rPr>
        <w:t>The</w:t>
      </w:r>
      <w:proofErr w:type="gramEnd"/>
      <w:r w:rsidRPr="00571B40">
        <w:rPr>
          <w:rFonts w:eastAsia="Calibri"/>
          <w:sz w:val="22"/>
          <w:szCs w:val="22"/>
          <w:lang w:val="en-GB"/>
        </w:rPr>
        <w:t xml:space="preserve"> number of representatives to be elected to the lower house of Parliament, the Saeima, was set at 100 in the Latvian Constitution.</w:t>
      </w:r>
      <w:r w:rsidRPr="00571B40">
        <w:rPr>
          <w:rFonts w:eastAsia="Calibri"/>
          <w:sz w:val="22"/>
          <w:szCs w:val="22"/>
          <w:vertAlign w:val="superscript"/>
          <w:lang w:val="en-GB"/>
        </w:rPr>
        <w:footnoteReference w:id="18"/>
      </w:r>
      <w:r w:rsidRPr="00571B40">
        <w:rPr>
          <w:rFonts w:eastAsia="Calibri"/>
          <w:sz w:val="22"/>
          <w:szCs w:val="22"/>
          <w:lang w:val="en-GB"/>
        </w:rPr>
        <w:t xml:space="preserve"> Mandates were distributed according to the system in operation in 1922, which allocated seats using the Sainte-Laguë method of proportional representation. This method applies a series of odd-numbered divisors (1, 3, 5, 7, 9 etc.) to each party’s total number of votes, sequentially allocating seats in each instance to the party with the largest quotient.</w:t>
      </w:r>
      <w:r w:rsidRPr="00571B40">
        <w:rPr>
          <w:rFonts w:eastAsia="Calibri"/>
          <w:sz w:val="22"/>
          <w:szCs w:val="22"/>
          <w:vertAlign w:val="superscript"/>
          <w:lang w:val="en-GB"/>
        </w:rPr>
        <w:footnoteReference w:id="19"/>
      </w:r>
      <w:r w:rsidRPr="00571B40">
        <w:rPr>
          <w:rFonts w:eastAsia="Calibri"/>
          <w:sz w:val="22"/>
          <w:szCs w:val="22"/>
          <w:lang w:val="en-GB"/>
        </w:rPr>
        <w:t xml:space="preserve"> Sainte-Laguë is rarely used, and aside from Latvia, it is only used in its pure form in New Zealand (Gallagher and Mitchell, 2005: 585). This system provides a greater level of proportionality than the PR system in operation in the other Baltic States (Mikkel &amp; Pettai 2004 p.334).</w:t>
      </w:r>
    </w:p>
    <w:p w14:paraId="010DC2F3" w14:textId="77777777" w:rsidR="00571B40" w:rsidRDefault="00571B40" w:rsidP="00571B40">
      <w:pPr>
        <w:spacing w:after="0" w:line="240" w:lineRule="auto"/>
        <w:jc w:val="both"/>
        <w:rPr>
          <w:rFonts w:eastAsia="Calibri"/>
          <w:sz w:val="22"/>
          <w:szCs w:val="22"/>
          <w:lang w:val="en-GB"/>
        </w:rPr>
      </w:pPr>
    </w:p>
    <w:p w14:paraId="048387B6" w14:textId="147DE99A" w:rsidR="00405DCF" w:rsidRPr="00405DCF" w:rsidRDefault="00405DCF" w:rsidP="00405DCF">
      <w:pPr>
        <w:spacing w:after="0" w:line="240" w:lineRule="auto"/>
        <w:jc w:val="both"/>
        <w:rPr>
          <w:rFonts w:eastAsia="Calibri"/>
          <w:sz w:val="22"/>
          <w:szCs w:val="22"/>
          <w:lang w:val="en-GB"/>
        </w:rPr>
      </w:pPr>
      <w:r w:rsidRPr="00405DCF">
        <w:rPr>
          <w:rFonts w:eastAsia="Calibri"/>
          <w:bCs/>
          <w:i/>
          <w:sz w:val="22"/>
          <w:szCs w:val="22"/>
          <w:lang w:val="en-GB"/>
        </w:rPr>
        <w:t>District Magnitude</w:t>
      </w:r>
      <w:r>
        <w:rPr>
          <w:rFonts w:eastAsia="Calibri"/>
          <w:bCs/>
          <w:i/>
          <w:sz w:val="22"/>
          <w:szCs w:val="22"/>
          <w:lang w:val="en-GB"/>
        </w:rPr>
        <w:t xml:space="preserve"> </w:t>
      </w:r>
      <w:r w:rsidRPr="00405DCF">
        <w:rPr>
          <w:rFonts w:eastAsia="Calibri"/>
          <w:sz w:val="22"/>
          <w:szCs w:val="22"/>
          <w:lang w:val="en-GB"/>
        </w:rPr>
        <w:t>The number of mandates for each district is decided on the basis of the size of the electorate within each of the five constituencies.</w:t>
      </w:r>
      <w:r w:rsidRPr="00405DCF">
        <w:rPr>
          <w:rFonts w:eastAsia="Calibri"/>
          <w:sz w:val="22"/>
          <w:szCs w:val="22"/>
          <w:vertAlign w:val="superscript"/>
          <w:lang w:val="en-GB"/>
        </w:rPr>
        <w:footnoteReference w:id="20"/>
      </w:r>
      <w:r w:rsidRPr="00405DCF">
        <w:rPr>
          <w:rFonts w:eastAsia="Calibri"/>
          <w:sz w:val="22"/>
          <w:szCs w:val="22"/>
          <w:lang w:val="en-GB"/>
        </w:rPr>
        <w:t xml:space="preserve"> This number was also the maximum number of candidates that contending parties (etc.) could propose on their respective lists.</w:t>
      </w:r>
      <w:r w:rsidRPr="00405DCF">
        <w:rPr>
          <w:rFonts w:eastAsia="Calibri"/>
          <w:sz w:val="22"/>
          <w:szCs w:val="22"/>
          <w:vertAlign w:val="superscript"/>
          <w:lang w:val="en-GB"/>
        </w:rPr>
        <w:footnoteReference w:id="21"/>
      </w:r>
    </w:p>
    <w:p w14:paraId="4D445301" w14:textId="77777777" w:rsidR="00405DCF" w:rsidRDefault="00405DCF" w:rsidP="00571B40">
      <w:pPr>
        <w:spacing w:after="0" w:line="240" w:lineRule="auto"/>
        <w:jc w:val="both"/>
        <w:rPr>
          <w:rFonts w:eastAsia="Calibri"/>
          <w:sz w:val="22"/>
          <w:szCs w:val="22"/>
          <w:lang w:val="en-GB"/>
        </w:rPr>
      </w:pPr>
    </w:p>
    <w:p w14:paraId="208FCE13" w14:textId="77777777" w:rsidR="00405DCF" w:rsidRPr="00405DCF" w:rsidRDefault="00405DCF" w:rsidP="00405DCF">
      <w:pPr>
        <w:spacing w:after="0" w:line="240" w:lineRule="auto"/>
        <w:jc w:val="both"/>
        <w:rPr>
          <w:rFonts w:eastAsia="Calibri"/>
          <w:sz w:val="22"/>
          <w:szCs w:val="22"/>
          <w:lang w:val="en-GB"/>
        </w:rPr>
      </w:pPr>
    </w:p>
    <w:p w14:paraId="47E16EAB" w14:textId="77777777" w:rsidR="00405DCF" w:rsidRPr="00405DCF" w:rsidRDefault="00405DCF" w:rsidP="00405DCF">
      <w:pPr>
        <w:spacing w:after="0" w:line="240" w:lineRule="auto"/>
        <w:jc w:val="both"/>
        <w:rPr>
          <w:rFonts w:eastAsia="Calibri"/>
          <w:sz w:val="22"/>
          <w:szCs w:val="22"/>
          <w:lang w:val="en-GB"/>
        </w:rPr>
      </w:pPr>
      <w:bookmarkStart w:id="23" w:name="_Toc297204339"/>
      <w:bookmarkStart w:id="24" w:name="_Toc297204686"/>
      <w:bookmarkStart w:id="25" w:name="_Toc297204747"/>
      <w:bookmarkStart w:id="26" w:name="_Toc297204911"/>
      <w:bookmarkStart w:id="27" w:name="_Toc297206010"/>
      <w:bookmarkStart w:id="28" w:name="_Toc297215891"/>
      <w:bookmarkStart w:id="29" w:name="_Toc297227838"/>
      <w:bookmarkStart w:id="30" w:name="_Toc297228363"/>
      <w:r w:rsidRPr="00405DCF">
        <w:rPr>
          <w:rFonts w:eastAsia="Calibri"/>
          <w:bCs/>
          <w:i/>
          <w:sz w:val="22"/>
          <w:szCs w:val="22"/>
          <w:lang w:val="en-GB"/>
        </w:rPr>
        <w:t>Preference votes</w:t>
      </w:r>
      <w:bookmarkEnd w:id="23"/>
      <w:bookmarkEnd w:id="24"/>
      <w:bookmarkEnd w:id="25"/>
      <w:bookmarkEnd w:id="26"/>
      <w:bookmarkEnd w:id="27"/>
      <w:bookmarkEnd w:id="28"/>
      <w:bookmarkEnd w:id="29"/>
      <w:bookmarkEnd w:id="30"/>
      <w:r w:rsidRPr="00405DCF">
        <w:rPr>
          <w:rFonts w:eastAsia="Calibri"/>
          <w:b/>
          <w:bCs/>
          <w:sz w:val="22"/>
          <w:szCs w:val="22"/>
          <w:lang w:val="en-GB"/>
        </w:rPr>
        <w:t xml:space="preserve"> </w:t>
      </w:r>
      <w:r w:rsidRPr="00405DCF">
        <w:rPr>
          <w:rFonts w:eastAsia="Calibri"/>
          <w:sz w:val="22"/>
          <w:szCs w:val="22"/>
          <w:lang w:val="en-GB"/>
        </w:rPr>
        <w:t xml:space="preserve">“The ranking of the candidates on the ballot paper is only a hint from the parties as to their most preferred candidates. It is the voter who makes the final choice, as any mandate that the party wins in the district goes to the candidate with the highest net score of ‘positive’ and ‘negative’ votes in that district.” (Mikkel &amp; Pettai 2004 p.333) </w:t>
      </w:r>
    </w:p>
    <w:p w14:paraId="2E5F5FB4" w14:textId="77777777" w:rsidR="00405DCF" w:rsidRPr="00405DCF" w:rsidRDefault="00405DCF" w:rsidP="00405DCF">
      <w:pPr>
        <w:spacing w:after="0" w:line="240" w:lineRule="auto"/>
        <w:jc w:val="both"/>
        <w:rPr>
          <w:rFonts w:eastAsia="Calibri"/>
          <w:sz w:val="22"/>
          <w:szCs w:val="22"/>
          <w:lang w:val="en-GB"/>
        </w:rPr>
      </w:pPr>
    </w:p>
    <w:p w14:paraId="1BE73E1B" w14:textId="77777777" w:rsidR="00405DCF" w:rsidRPr="00405DCF" w:rsidRDefault="00405DCF" w:rsidP="00405DCF">
      <w:pPr>
        <w:spacing w:after="0" w:line="240" w:lineRule="auto"/>
        <w:jc w:val="both"/>
        <w:rPr>
          <w:rFonts w:eastAsia="Calibri"/>
          <w:sz w:val="22"/>
          <w:szCs w:val="22"/>
          <w:lang w:val="lv-LV"/>
        </w:rPr>
      </w:pPr>
      <w:r w:rsidRPr="00405DCF">
        <w:rPr>
          <w:rFonts w:eastAsia="Calibri"/>
          <w:sz w:val="22"/>
          <w:szCs w:val="22"/>
          <w:lang w:val="en-GB"/>
        </w:rPr>
        <w:t xml:space="preserve">Voters are presented with a choice of ballots, each listing the respective parties’ (etc.) candidates. Although voters may vote for only one party (etc.), they have considerable power of intra-party choice of candidates through exercising their right to express preference votes. Voters are invited to mark with a ‘+’ those candidates they favour, or put a line through those names of candidates they wish to de-select. Alternatively they need express no preference over candidates, and place the unmarked ballot of their choice in the envelope, expressing </w:t>
      </w:r>
      <w:r w:rsidRPr="00405DCF">
        <w:rPr>
          <w:rFonts w:eastAsia="Calibri"/>
          <w:sz w:val="22"/>
          <w:szCs w:val="22"/>
          <w:lang w:val="en-GB"/>
        </w:rPr>
        <w:lastRenderedPageBreak/>
        <w:t>simply their support for a particular party or coalition etc.</w:t>
      </w:r>
      <w:r w:rsidRPr="00405DCF">
        <w:rPr>
          <w:rFonts w:eastAsia="Calibri"/>
          <w:sz w:val="22"/>
          <w:szCs w:val="22"/>
          <w:vertAlign w:val="superscript"/>
          <w:lang w:val="en-GB"/>
        </w:rPr>
        <w:footnoteReference w:id="22"/>
      </w:r>
      <w:r w:rsidRPr="00405DCF">
        <w:rPr>
          <w:rFonts w:eastAsia="Calibri"/>
          <w:sz w:val="22"/>
          <w:szCs w:val="22"/>
          <w:lang w:val="en-GB"/>
        </w:rPr>
        <w:t xml:space="preserve"> These markings are counted and the order in which candidates are allocated mandates from each list is sequenced entirely on the basis of the electorate’s preference votes. The formula for ranking candidates is as follows. Each candidate receives as many votes as the total number cast for that candidate list minus the number of times this candidate’s name is crossed out on the list, plus the number of times the candidate’s name has been marked positively.</w:t>
      </w:r>
      <w:r w:rsidRPr="00405DCF">
        <w:rPr>
          <w:rFonts w:eastAsia="Calibri"/>
          <w:sz w:val="22"/>
          <w:szCs w:val="22"/>
          <w:vertAlign w:val="superscript"/>
          <w:lang w:val="en-GB"/>
        </w:rPr>
        <w:footnoteReference w:id="23"/>
      </w:r>
      <w:r w:rsidRPr="00405DCF">
        <w:rPr>
          <w:rFonts w:eastAsia="Calibri"/>
          <w:sz w:val="22"/>
          <w:szCs w:val="22"/>
          <w:lang w:val="en-GB"/>
        </w:rPr>
        <w:t xml:space="preserve"> Where a candidate has competed in more than one district and subsequently wins in more than one of these constituencies, then (s)he is allocated the mandate where (s)he has received the most preference votes, and the candidate (from the same party list) with the next largest number of preference votes is allocated the seat.</w:t>
      </w:r>
      <w:r w:rsidRPr="00405DCF">
        <w:rPr>
          <w:rFonts w:eastAsia="Calibri"/>
          <w:sz w:val="22"/>
          <w:szCs w:val="22"/>
          <w:vertAlign w:val="superscript"/>
          <w:lang w:val="en-GB"/>
        </w:rPr>
        <w:footnoteReference w:id="24"/>
      </w:r>
      <w:r w:rsidRPr="00405DCF">
        <w:rPr>
          <w:rFonts w:eastAsia="Calibri"/>
          <w:sz w:val="22"/>
          <w:szCs w:val="22"/>
          <w:lang w:val="en-GB"/>
        </w:rPr>
        <w:t xml:space="preserve"> </w:t>
      </w:r>
    </w:p>
    <w:p w14:paraId="091E5C22" w14:textId="77777777" w:rsidR="00405DCF" w:rsidRDefault="00405DCF" w:rsidP="00405DCF">
      <w:pPr>
        <w:keepNext/>
        <w:spacing w:before="240" w:after="60" w:line="240" w:lineRule="auto"/>
        <w:jc w:val="both"/>
        <w:outlineLvl w:val="2"/>
        <w:rPr>
          <w:rFonts w:eastAsia="Times New Roman"/>
          <w:b/>
          <w:bCs/>
          <w:sz w:val="22"/>
          <w:szCs w:val="22"/>
          <w:lang w:val="en-GB" w:eastAsia="sk-SK"/>
        </w:rPr>
      </w:pPr>
      <w:bookmarkStart w:id="31" w:name="_Toc297204337"/>
      <w:bookmarkStart w:id="32" w:name="_Toc297204684"/>
      <w:bookmarkStart w:id="33" w:name="_Toc297204745"/>
      <w:bookmarkStart w:id="34" w:name="_Toc297204909"/>
      <w:bookmarkStart w:id="35" w:name="_Toc297206008"/>
      <w:bookmarkStart w:id="36" w:name="_Toc297215889"/>
      <w:bookmarkStart w:id="37" w:name="_Toc297227836"/>
      <w:bookmarkStart w:id="38" w:name="_Toc297228361"/>
    </w:p>
    <w:p w14:paraId="07FC97D5" w14:textId="06322865" w:rsidR="00571B40" w:rsidRPr="00571B40" w:rsidRDefault="00405DCF" w:rsidP="00405DCF">
      <w:pPr>
        <w:keepNext/>
        <w:spacing w:before="240" w:after="60" w:line="240" w:lineRule="auto"/>
        <w:jc w:val="both"/>
        <w:outlineLvl w:val="2"/>
        <w:rPr>
          <w:rFonts w:eastAsia="Times New Roman"/>
          <w:b/>
          <w:bCs/>
          <w:sz w:val="22"/>
          <w:szCs w:val="22"/>
          <w:lang w:val="en-GB" w:eastAsia="sk-SK"/>
        </w:rPr>
      </w:pPr>
      <w:proofErr w:type="gramStart"/>
      <w:r>
        <w:rPr>
          <w:rFonts w:eastAsia="Times New Roman"/>
          <w:b/>
          <w:bCs/>
          <w:sz w:val="22"/>
          <w:szCs w:val="22"/>
          <w:lang w:val="en-GB" w:eastAsia="sk-SK"/>
        </w:rPr>
        <w:t>T</w:t>
      </w:r>
      <w:r w:rsidR="00571B40" w:rsidRPr="00571B40">
        <w:rPr>
          <w:rFonts w:eastAsia="Times New Roman"/>
          <w:b/>
          <w:bCs/>
          <w:sz w:val="22"/>
          <w:szCs w:val="22"/>
          <w:lang w:val="en-GB" w:eastAsia="sk-SK"/>
        </w:rPr>
        <w:t>able 2.</w:t>
      </w:r>
      <w:proofErr w:type="gramEnd"/>
      <w:r w:rsidR="00571B40" w:rsidRPr="00571B40">
        <w:rPr>
          <w:rFonts w:eastAsia="Times New Roman"/>
          <w:b/>
          <w:bCs/>
          <w:sz w:val="22"/>
          <w:szCs w:val="22"/>
          <w:lang w:val="en-GB" w:eastAsia="sk-SK"/>
        </w:rPr>
        <w:t xml:space="preserve">  Districts and district magnitude</w:t>
      </w:r>
      <w:bookmarkEnd w:id="31"/>
      <w:bookmarkEnd w:id="32"/>
      <w:bookmarkEnd w:id="33"/>
      <w:bookmarkEnd w:id="34"/>
      <w:bookmarkEnd w:id="35"/>
      <w:bookmarkEnd w:id="36"/>
      <w:bookmarkEnd w:id="37"/>
      <w:bookmarkEnd w:id="38"/>
    </w:p>
    <w:p w14:paraId="005978A9" w14:textId="77777777" w:rsidR="00571B40" w:rsidRPr="00571B40" w:rsidRDefault="00571B40" w:rsidP="00571B40">
      <w:pPr>
        <w:spacing w:after="0" w:line="240" w:lineRule="auto"/>
        <w:jc w:val="both"/>
        <w:rPr>
          <w:rFonts w:eastAsia="Times New Roman"/>
          <w:sz w:val="22"/>
          <w:szCs w:val="22"/>
          <w:lang w:val="en-GB" w:eastAsia="sk-SK"/>
        </w:rPr>
      </w:pPr>
      <w:r w:rsidRPr="00571B40">
        <w:rPr>
          <w:rFonts w:eastAsia="Times New Roman"/>
          <w:b/>
          <w:sz w:val="22"/>
          <w:szCs w:val="22"/>
          <w:lang w:eastAsia="sk-SK"/>
        </w:rPr>
        <w:t xml:space="preserve">                                             </w:t>
      </w:r>
    </w:p>
    <w:tbl>
      <w:tblPr>
        <w:tblW w:w="10719" w:type="dxa"/>
        <w:tblInd w:w="-1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3"/>
        <w:gridCol w:w="1333"/>
        <w:gridCol w:w="1333"/>
        <w:gridCol w:w="1333"/>
        <w:gridCol w:w="1333"/>
        <w:gridCol w:w="1368"/>
        <w:gridCol w:w="1311"/>
        <w:gridCol w:w="1425"/>
      </w:tblGrid>
      <w:tr w:rsidR="00571B40" w:rsidRPr="00571B40" w14:paraId="08A43F82" w14:textId="77777777" w:rsidTr="00405DCF">
        <w:trPr>
          <w:trHeight w:val="277"/>
        </w:trPr>
        <w:tc>
          <w:tcPr>
            <w:tcW w:w="1283" w:type="dxa"/>
            <w:vMerge w:val="restart"/>
          </w:tcPr>
          <w:p w14:paraId="0376A5CE" w14:textId="77777777" w:rsidR="00571B40" w:rsidRPr="00571B40" w:rsidRDefault="00571B40" w:rsidP="00571B40">
            <w:pPr>
              <w:spacing w:after="0" w:line="240" w:lineRule="auto"/>
              <w:jc w:val="both"/>
              <w:rPr>
                <w:rFonts w:eastAsia="Calibri"/>
                <w:b/>
                <w:sz w:val="22"/>
                <w:szCs w:val="22"/>
                <w:lang w:val="en-GB"/>
              </w:rPr>
            </w:pPr>
          </w:p>
          <w:p w14:paraId="79C386B8" w14:textId="77777777" w:rsidR="00571B40" w:rsidRPr="00571B40" w:rsidRDefault="00571B40" w:rsidP="00571B40">
            <w:pPr>
              <w:spacing w:after="0" w:line="240" w:lineRule="auto"/>
              <w:jc w:val="both"/>
              <w:rPr>
                <w:rFonts w:eastAsia="Calibri"/>
                <w:b/>
                <w:sz w:val="22"/>
                <w:szCs w:val="22"/>
                <w:lang w:val="en-GB"/>
              </w:rPr>
            </w:pPr>
            <w:r w:rsidRPr="00571B40">
              <w:rPr>
                <w:rFonts w:eastAsia="Calibri"/>
                <w:b/>
                <w:sz w:val="22"/>
                <w:szCs w:val="22"/>
                <w:lang w:val="en-GB"/>
              </w:rPr>
              <w:t>Name of</w:t>
            </w:r>
          </w:p>
          <w:p w14:paraId="5D143E39" w14:textId="77777777" w:rsidR="00571B40" w:rsidRPr="00571B40" w:rsidRDefault="00571B40" w:rsidP="00571B40">
            <w:pPr>
              <w:spacing w:after="0" w:line="240" w:lineRule="auto"/>
              <w:jc w:val="both"/>
              <w:rPr>
                <w:rFonts w:eastAsia="Calibri"/>
                <w:b/>
                <w:sz w:val="22"/>
                <w:szCs w:val="22"/>
                <w:lang w:val="en-GB"/>
              </w:rPr>
            </w:pPr>
            <w:r w:rsidRPr="00571B40">
              <w:rPr>
                <w:rFonts w:eastAsia="Calibri"/>
                <w:b/>
                <w:sz w:val="22"/>
                <w:szCs w:val="22"/>
                <w:lang w:val="en-GB"/>
              </w:rPr>
              <w:t>District</w:t>
            </w:r>
          </w:p>
        </w:tc>
        <w:tc>
          <w:tcPr>
            <w:tcW w:w="9436" w:type="dxa"/>
            <w:gridSpan w:val="7"/>
            <w:tcBorders>
              <w:bottom w:val="single" w:sz="4" w:space="0" w:color="000000"/>
            </w:tcBorders>
          </w:tcPr>
          <w:p w14:paraId="6CA3E60C" w14:textId="77777777" w:rsidR="00571B40" w:rsidRPr="00571B40" w:rsidRDefault="00571B40" w:rsidP="00571B40">
            <w:pPr>
              <w:tabs>
                <w:tab w:val="left" w:pos="825"/>
              </w:tabs>
              <w:spacing w:after="0" w:line="240" w:lineRule="auto"/>
              <w:jc w:val="center"/>
              <w:rPr>
                <w:rFonts w:eastAsia="Calibri"/>
                <w:b/>
                <w:sz w:val="22"/>
                <w:szCs w:val="22"/>
              </w:rPr>
            </w:pPr>
            <w:r w:rsidRPr="00571B40">
              <w:rPr>
                <w:rFonts w:eastAsia="Calibri"/>
                <w:b/>
                <w:sz w:val="22"/>
                <w:szCs w:val="22"/>
              </w:rPr>
              <w:t>No. of mandates allocated according to the size of electorate in each constituency</w:t>
            </w:r>
          </w:p>
          <w:p w14:paraId="66BD564A" w14:textId="77777777" w:rsidR="00571B40" w:rsidRPr="00571B40" w:rsidRDefault="00571B40" w:rsidP="00571B40">
            <w:pPr>
              <w:tabs>
                <w:tab w:val="left" w:pos="825"/>
              </w:tabs>
              <w:spacing w:after="0" w:line="240" w:lineRule="auto"/>
              <w:jc w:val="center"/>
              <w:rPr>
                <w:rFonts w:eastAsia="Calibri"/>
                <w:b/>
                <w:sz w:val="22"/>
                <w:szCs w:val="22"/>
              </w:rPr>
            </w:pPr>
          </w:p>
        </w:tc>
      </w:tr>
      <w:tr w:rsidR="00571B40" w:rsidRPr="00571B40" w14:paraId="000CE781" w14:textId="77777777" w:rsidTr="00405DCF">
        <w:trPr>
          <w:trHeight w:val="277"/>
        </w:trPr>
        <w:tc>
          <w:tcPr>
            <w:tcW w:w="1283" w:type="dxa"/>
            <w:vMerge/>
          </w:tcPr>
          <w:p w14:paraId="202523EA" w14:textId="77777777" w:rsidR="00571B40" w:rsidRPr="00571B40" w:rsidRDefault="00571B40" w:rsidP="00571B40">
            <w:pPr>
              <w:spacing w:after="0" w:line="240" w:lineRule="auto"/>
              <w:jc w:val="both"/>
              <w:rPr>
                <w:rFonts w:eastAsia="Calibri"/>
                <w:b/>
                <w:sz w:val="22"/>
                <w:szCs w:val="22"/>
                <w:lang w:val="en-GB"/>
              </w:rPr>
            </w:pPr>
          </w:p>
        </w:tc>
        <w:tc>
          <w:tcPr>
            <w:tcW w:w="1333" w:type="dxa"/>
            <w:tcBorders>
              <w:bottom w:val="nil"/>
              <w:right w:val="nil"/>
            </w:tcBorders>
          </w:tcPr>
          <w:p w14:paraId="4BDF78A3" w14:textId="77777777" w:rsidR="00571B40" w:rsidRPr="00571B40" w:rsidRDefault="00571B40" w:rsidP="00571B40">
            <w:pPr>
              <w:tabs>
                <w:tab w:val="left" w:pos="825"/>
              </w:tabs>
              <w:spacing w:after="0" w:line="240" w:lineRule="auto"/>
              <w:jc w:val="center"/>
              <w:rPr>
                <w:rFonts w:eastAsia="Calibri"/>
                <w:b/>
                <w:sz w:val="22"/>
                <w:szCs w:val="22"/>
              </w:rPr>
            </w:pPr>
            <w:r w:rsidRPr="00571B40">
              <w:rPr>
                <w:rFonts w:eastAsia="Calibri"/>
                <w:b/>
                <w:sz w:val="22"/>
                <w:szCs w:val="22"/>
              </w:rPr>
              <w:t>5.Saeima</w:t>
            </w:r>
            <w:r w:rsidRPr="00571B40">
              <w:rPr>
                <w:rFonts w:eastAsia="Calibri"/>
                <w:b/>
                <w:sz w:val="22"/>
                <w:szCs w:val="22"/>
                <w:vertAlign w:val="superscript"/>
              </w:rPr>
              <w:footnoteReference w:id="25"/>
            </w:r>
            <w:r w:rsidRPr="00571B40">
              <w:rPr>
                <w:rFonts w:eastAsia="Calibri"/>
                <w:b/>
                <w:sz w:val="22"/>
                <w:szCs w:val="22"/>
              </w:rPr>
              <w:t xml:space="preserve"> 1993</w:t>
            </w:r>
          </w:p>
        </w:tc>
        <w:tc>
          <w:tcPr>
            <w:tcW w:w="1333" w:type="dxa"/>
            <w:tcBorders>
              <w:left w:val="nil"/>
              <w:bottom w:val="nil"/>
              <w:right w:val="nil"/>
            </w:tcBorders>
          </w:tcPr>
          <w:p w14:paraId="5723DAA2" w14:textId="77777777" w:rsidR="00571B40" w:rsidRPr="00571B40" w:rsidRDefault="00571B40" w:rsidP="00571B40">
            <w:pPr>
              <w:tabs>
                <w:tab w:val="left" w:pos="825"/>
              </w:tabs>
              <w:spacing w:after="0" w:line="240" w:lineRule="auto"/>
              <w:jc w:val="center"/>
              <w:rPr>
                <w:rFonts w:eastAsia="Calibri"/>
                <w:b/>
                <w:sz w:val="22"/>
                <w:szCs w:val="22"/>
              </w:rPr>
            </w:pPr>
            <w:r w:rsidRPr="00571B40">
              <w:rPr>
                <w:rFonts w:eastAsia="Calibri"/>
                <w:b/>
                <w:sz w:val="22"/>
                <w:szCs w:val="22"/>
              </w:rPr>
              <w:t>6.Saeima</w:t>
            </w:r>
            <w:r w:rsidRPr="00571B40">
              <w:rPr>
                <w:rFonts w:eastAsia="Calibri"/>
                <w:b/>
                <w:sz w:val="22"/>
                <w:szCs w:val="22"/>
                <w:vertAlign w:val="superscript"/>
              </w:rPr>
              <w:footnoteReference w:id="26"/>
            </w:r>
            <w:r w:rsidRPr="00571B40">
              <w:rPr>
                <w:rFonts w:eastAsia="Calibri"/>
                <w:b/>
                <w:sz w:val="22"/>
                <w:szCs w:val="22"/>
              </w:rPr>
              <w:t xml:space="preserve"> 1995</w:t>
            </w:r>
          </w:p>
        </w:tc>
        <w:tc>
          <w:tcPr>
            <w:tcW w:w="1333" w:type="dxa"/>
            <w:tcBorders>
              <w:left w:val="nil"/>
              <w:bottom w:val="nil"/>
              <w:right w:val="nil"/>
            </w:tcBorders>
          </w:tcPr>
          <w:p w14:paraId="15875564" w14:textId="77777777" w:rsidR="00571B40" w:rsidRPr="00571B40" w:rsidRDefault="00571B40" w:rsidP="00571B40">
            <w:pPr>
              <w:tabs>
                <w:tab w:val="left" w:pos="825"/>
              </w:tabs>
              <w:spacing w:after="0" w:line="240" w:lineRule="auto"/>
              <w:jc w:val="center"/>
              <w:rPr>
                <w:rFonts w:eastAsia="Calibri"/>
                <w:b/>
                <w:sz w:val="22"/>
                <w:szCs w:val="22"/>
              </w:rPr>
            </w:pPr>
            <w:r w:rsidRPr="00571B40">
              <w:rPr>
                <w:rFonts w:eastAsia="Calibri"/>
                <w:b/>
                <w:sz w:val="22"/>
                <w:szCs w:val="22"/>
              </w:rPr>
              <w:t>7.Saeima</w:t>
            </w:r>
            <w:r w:rsidRPr="00571B40">
              <w:rPr>
                <w:rFonts w:eastAsia="Calibri"/>
                <w:b/>
                <w:sz w:val="22"/>
                <w:szCs w:val="22"/>
                <w:vertAlign w:val="superscript"/>
              </w:rPr>
              <w:footnoteReference w:id="27"/>
            </w:r>
            <w:r w:rsidRPr="00571B40">
              <w:rPr>
                <w:rFonts w:eastAsia="Calibri"/>
                <w:b/>
                <w:sz w:val="22"/>
                <w:szCs w:val="22"/>
              </w:rPr>
              <w:t xml:space="preserve"> 1998</w:t>
            </w:r>
          </w:p>
        </w:tc>
        <w:tc>
          <w:tcPr>
            <w:tcW w:w="1333" w:type="dxa"/>
            <w:tcBorders>
              <w:left w:val="nil"/>
              <w:bottom w:val="nil"/>
              <w:right w:val="nil"/>
            </w:tcBorders>
          </w:tcPr>
          <w:p w14:paraId="03E39D52" w14:textId="77777777" w:rsidR="00571B40" w:rsidRPr="00571B40" w:rsidRDefault="00571B40" w:rsidP="00571B40">
            <w:pPr>
              <w:tabs>
                <w:tab w:val="left" w:pos="825"/>
              </w:tabs>
              <w:spacing w:after="0" w:line="240" w:lineRule="auto"/>
              <w:jc w:val="center"/>
              <w:rPr>
                <w:rFonts w:eastAsia="Calibri"/>
                <w:b/>
                <w:sz w:val="22"/>
                <w:szCs w:val="22"/>
              </w:rPr>
            </w:pPr>
            <w:r w:rsidRPr="00571B40">
              <w:rPr>
                <w:rFonts w:eastAsia="Calibri"/>
                <w:b/>
                <w:sz w:val="22"/>
                <w:szCs w:val="22"/>
              </w:rPr>
              <w:t>8.Saeima</w:t>
            </w:r>
            <w:r w:rsidRPr="00571B40">
              <w:rPr>
                <w:rFonts w:eastAsia="Calibri"/>
                <w:b/>
                <w:sz w:val="22"/>
                <w:szCs w:val="22"/>
                <w:vertAlign w:val="superscript"/>
              </w:rPr>
              <w:footnoteReference w:id="28"/>
            </w:r>
            <w:r w:rsidRPr="00571B40">
              <w:rPr>
                <w:rFonts w:eastAsia="Calibri"/>
                <w:b/>
                <w:sz w:val="22"/>
                <w:szCs w:val="22"/>
              </w:rPr>
              <w:t xml:space="preserve"> 2002</w:t>
            </w:r>
          </w:p>
        </w:tc>
        <w:tc>
          <w:tcPr>
            <w:tcW w:w="1368" w:type="dxa"/>
            <w:tcBorders>
              <w:left w:val="nil"/>
              <w:bottom w:val="nil"/>
              <w:right w:val="nil"/>
            </w:tcBorders>
          </w:tcPr>
          <w:p w14:paraId="4E170AE9" w14:textId="77777777" w:rsidR="00571B40" w:rsidRPr="00571B40" w:rsidRDefault="00571B40" w:rsidP="00571B40">
            <w:pPr>
              <w:tabs>
                <w:tab w:val="left" w:pos="825"/>
              </w:tabs>
              <w:spacing w:after="0" w:line="240" w:lineRule="auto"/>
              <w:jc w:val="center"/>
              <w:rPr>
                <w:rFonts w:eastAsia="Calibri"/>
                <w:b/>
                <w:sz w:val="22"/>
                <w:szCs w:val="22"/>
              </w:rPr>
            </w:pPr>
            <w:r w:rsidRPr="00571B40">
              <w:rPr>
                <w:rFonts w:eastAsia="Calibri"/>
                <w:b/>
                <w:sz w:val="22"/>
                <w:szCs w:val="22"/>
              </w:rPr>
              <w:t>9.Saeima</w:t>
            </w:r>
            <w:r w:rsidRPr="00571B40">
              <w:rPr>
                <w:rFonts w:eastAsia="Calibri"/>
                <w:b/>
                <w:sz w:val="22"/>
                <w:szCs w:val="22"/>
                <w:vertAlign w:val="superscript"/>
              </w:rPr>
              <w:footnoteReference w:id="29"/>
            </w:r>
            <w:r w:rsidRPr="00571B40">
              <w:rPr>
                <w:rFonts w:eastAsia="Calibri"/>
                <w:b/>
                <w:sz w:val="22"/>
                <w:szCs w:val="22"/>
              </w:rPr>
              <w:t xml:space="preserve"> 2006</w:t>
            </w:r>
          </w:p>
        </w:tc>
        <w:tc>
          <w:tcPr>
            <w:tcW w:w="1311" w:type="dxa"/>
            <w:tcBorders>
              <w:left w:val="nil"/>
              <w:bottom w:val="nil"/>
              <w:right w:val="nil"/>
            </w:tcBorders>
          </w:tcPr>
          <w:p w14:paraId="650A685B" w14:textId="77777777" w:rsidR="00571B40" w:rsidRPr="00571B40" w:rsidRDefault="00571B40" w:rsidP="00571B40">
            <w:pPr>
              <w:tabs>
                <w:tab w:val="left" w:pos="825"/>
              </w:tabs>
              <w:spacing w:after="0" w:line="240" w:lineRule="auto"/>
              <w:jc w:val="center"/>
              <w:rPr>
                <w:rFonts w:eastAsia="Calibri"/>
                <w:b/>
                <w:sz w:val="22"/>
                <w:szCs w:val="22"/>
              </w:rPr>
            </w:pPr>
            <w:r w:rsidRPr="00571B40">
              <w:rPr>
                <w:rFonts w:eastAsia="Calibri"/>
                <w:b/>
                <w:sz w:val="22"/>
                <w:szCs w:val="22"/>
              </w:rPr>
              <w:t>10.Saeima</w:t>
            </w:r>
            <w:r w:rsidRPr="00571B40">
              <w:rPr>
                <w:rFonts w:eastAsia="Calibri"/>
                <w:b/>
                <w:sz w:val="22"/>
                <w:szCs w:val="22"/>
                <w:vertAlign w:val="superscript"/>
              </w:rPr>
              <w:footnoteReference w:id="30"/>
            </w:r>
            <w:r w:rsidRPr="00571B40">
              <w:rPr>
                <w:rFonts w:eastAsia="Calibri"/>
                <w:b/>
                <w:sz w:val="22"/>
                <w:szCs w:val="22"/>
              </w:rPr>
              <w:t xml:space="preserve"> 2010</w:t>
            </w:r>
          </w:p>
        </w:tc>
        <w:tc>
          <w:tcPr>
            <w:tcW w:w="1425" w:type="dxa"/>
            <w:tcBorders>
              <w:left w:val="nil"/>
              <w:bottom w:val="nil"/>
            </w:tcBorders>
          </w:tcPr>
          <w:p w14:paraId="5B52517C" w14:textId="77777777" w:rsidR="00571B40" w:rsidRPr="00571B40" w:rsidRDefault="00571B40" w:rsidP="00571B40">
            <w:pPr>
              <w:tabs>
                <w:tab w:val="left" w:pos="825"/>
              </w:tabs>
              <w:spacing w:after="0" w:line="240" w:lineRule="auto"/>
              <w:jc w:val="center"/>
              <w:rPr>
                <w:rFonts w:eastAsia="Calibri"/>
                <w:b/>
                <w:sz w:val="22"/>
                <w:szCs w:val="22"/>
              </w:rPr>
            </w:pPr>
            <w:r w:rsidRPr="00571B40">
              <w:rPr>
                <w:rFonts w:eastAsia="Calibri"/>
                <w:b/>
                <w:sz w:val="22"/>
                <w:szCs w:val="22"/>
              </w:rPr>
              <w:t>11.Saeima</w:t>
            </w:r>
            <w:r w:rsidRPr="00571B40">
              <w:rPr>
                <w:rFonts w:eastAsia="Calibri"/>
                <w:b/>
                <w:sz w:val="22"/>
                <w:szCs w:val="22"/>
                <w:vertAlign w:val="superscript"/>
              </w:rPr>
              <w:footnoteReference w:id="31"/>
            </w:r>
            <w:r w:rsidRPr="00571B40">
              <w:rPr>
                <w:rFonts w:eastAsia="Calibri"/>
                <w:b/>
                <w:sz w:val="22"/>
                <w:szCs w:val="22"/>
              </w:rPr>
              <w:t xml:space="preserve"> 2011</w:t>
            </w:r>
          </w:p>
        </w:tc>
      </w:tr>
      <w:tr w:rsidR="00571B40" w:rsidRPr="00571B40" w14:paraId="427683A1" w14:textId="77777777" w:rsidTr="00405DCF">
        <w:tc>
          <w:tcPr>
            <w:tcW w:w="1283" w:type="dxa"/>
          </w:tcPr>
          <w:p w14:paraId="0A19F118" w14:textId="77777777" w:rsidR="00571B40" w:rsidRPr="00571B40" w:rsidRDefault="00571B40" w:rsidP="00571B40">
            <w:pPr>
              <w:spacing w:after="0" w:line="240" w:lineRule="auto"/>
              <w:jc w:val="both"/>
              <w:rPr>
                <w:rFonts w:eastAsia="Calibri"/>
                <w:sz w:val="22"/>
                <w:szCs w:val="22"/>
                <w:lang w:val="en-GB"/>
              </w:rPr>
            </w:pPr>
            <w:bookmarkStart w:id="39" w:name="_Hlk317944642"/>
            <w:bookmarkStart w:id="40" w:name="_Hlk317944590"/>
            <w:r w:rsidRPr="00571B40">
              <w:rPr>
                <w:rFonts w:eastAsia="Calibri"/>
                <w:b/>
                <w:sz w:val="22"/>
                <w:szCs w:val="22"/>
              </w:rPr>
              <w:t xml:space="preserve">Riga </w:t>
            </w:r>
          </w:p>
        </w:tc>
        <w:tc>
          <w:tcPr>
            <w:tcW w:w="1333" w:type="dxa"/>
            <w:tcBorders>
              <w:top w:val="nil"/>
              <w:bottom w:val="nil"/>
              <w:right w:val="nil"/>
            </w:tcBorders>
          </w:tcPr>
          <w:p w14:paraId="2042E629"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24</w:t>
            </w:r>
          </w:p>
        </w:tc>
        <w:tc>
          <w:tcPr>
            <w:tcW w:w="1333" w:type="dxa"/>
            <w:tcBorders>
              <w:top w:val="nil"/>
              <w:left w:val="nil"/>
              <w:bottom w:val="nil"/>
              <w:right w:val="nil"/>
            </w:tcBorders>
          </w:tcPr>
          <w:p w14:paraId="41847C1E"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27</w:t>
            </w:r>
          </w:p>
        </w:tc>
        <w:tc>
          <w:tcPr>
            <w:tcW w:w="1333" w:type="dxa"/>
            <w:tcBorders>
              <w:top w:val="nil"/>
              <w:left w:val="nil"/>
              <w:bottom w:val="nil"/>
              <w:right w:val="nil"/>
            </w:tcBorders>
          </w:tcPr>
          <w:p w14:paraId="129A6EA2"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28</w:t>
            </w:r>
          </w:p>
        </w:tc>
        <w:tc>
          <w:tcPr>
            <w:tcW w:w="1333" w:type="dxa"/>
            <w:tcBorders>
              <w:top w:val="nil"/>
              <w:left w:val="nil"/>
              <w:bottom w:val="nil"/>
              <w:right w:val="nil"/>
            </w:tcBorders>
          </w:tcPr>
          <w:p w14:paraId="4992E743"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28</w:t>
            </w:r>
          </w:p>
        </w:tc>
        <w:tc>
          <w:tcPr>
            <w:tcW w:w="1368" w:type="dxa"/>
            <w:tcBorders>
              <w:top w:val="nil"/>
              <w:left w:val="nil"/>
              <w:bottom w:val="nil"/>
              <w:right w:val="nil"/>
            </w:tcBorders>
            <w:shd w:val="clear" w:color="auto" w:fill="auto"/>
          </w:tcPr>
          <w:p w14:paraId="23BEC7D7"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29</w:t>
            </w:r>
          </w:p>
        </w:tc>
        <w:tc>
          <w:tcPr>
            <w:tcW w:w="1311" w:type="dxa"/>
            <w:tcBorders>
              <w:top w:val="nil"/>
              <w:left w:val="nil"/>
              <w:bottom w:val="nil"/>
              <w:right w:val="nil"/>
            </w:tcBorders>
            <w:shd w:val="clear" w:color="auto" w:fill="auto"/>
          </w:tcPr>
          <w:p w14:paraId="6905360E"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29</w:t>
            </w:r>
          </w:p>
        </w:tc>
        <w:tc>
          <w:tcPr>
            <w:tcW w:w="1425" w:type="dxa"/>
            <w:tcBorders>
              <w:top w:val="nil"/>
              <w:left w:val="nil"/>
              <w:bottom w:val="nil"/>
            </w:tcBorders>
            <w:shd w:val="clear" w:color="auto" w:fill="auto"/>
          </w:tcPr>
          <w:p w14:paraId="07F7A4B6"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30</w:t>
            </w:r>
          </w:p>
        </w:tc>
      </w:tr>
      <w:tr w:rsidR="00571B40" w:rsidRPr="00571B40" w14:paraId="046A7CAB" w14:textId="77777777" w:rsidTr="00405DCF">
        <w:tc>
          <w:tcPr>
            <w:tcW w:w="1283" w:type="dxa"/>
          </w:tcPr>
          <w:p w14:paraId="57A48317" w14:textId="77777777" w:rsidR="00571B40" w:rsidRPr="00571B40" w:rsidRDefault="00571B40" w:rsidP="00571B40">
            <w:pPr>
              <w:spacing w:after="0" w:line="240" w:lineRule="auto"/>
              <w:jc w:val="both"/>
              <w:rPr>
                <w:rFonts w:eastAsia="Calibri"/>
                <w:b/>
                <w:sz w:val="22"/>
                <w:szCs w:val="22"/>
                <w:lang w:val="en-GB"/>
              </w:rPr>
            </w:pPr>
            <w:r w:rsidRPr="00571B40">
              <w:rPr>
                <w:rFonts w:eastAsia="Calibri"/>
                <w:b/>
                <w:sz w:val="22"/>
                <w:szCs w:val="22"/>
              </w:rPr>
              <w:t>Vidzeme</w:t>
            </w:r>
          </w:p>
        </w:tc>
        <w:tc>
          <w:tcPr>
            <w:tcW w:w="1333" w:type="dxa"/>
            <w:tcBorders>
              <w:top w:val="nil"/>
              <w:bottom w:val="nil"/>
              <w:right w:val="nil"/>
            </w:tcBorders>
          </w:tcPr>
          <w:p w14:paraId="5D45EDC2"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26</w:t>
            </w:r>
          </w:p>
        </w:tc>
        <w:tc>
          <w:tcPr>
            <w:tcW w:w="1333" w:type="dxa"/>
            <w:tcBorders>
              <w:top w:val="nil"/>
              <w:left w:val="nil"/>
              <w:bottom w:val="nil"/>
              <w:right w:val="nil"/>
            </w:tcBorders>
          </w:tcPr>
          <w:p w14:paraId="5EBF1499"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25</w:t>
            </w:r>
          </w:p>
        </w:tc>
        <w:tc>
          <w:tcPr>
            <w:tcW w:w="1333" w:type="dxa"/>
            <w:tcBorders>
              <w:top w:val="nil"/>
              <w:left w:val="nil"/>
              <w:bottom w:val="nil"/>
              <w:right w:val="nil"/>
            </w:tcBorders>
          </w:tcPr>
          <w:p w14:paraId="63862BB7"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25</w:t>
            </w:r>
          </w:p>
        </w:tc>
        <w:tc>
          <w:tcPr>
            <w:tcW w:w="1333" w:type="dxa"/>
            <w:tcBorders>
              <w:top w:val="nil"/>
              <w:left w:val="nil"/>
              <w:bottom w:val="nil"/>
              <w:right w:val="nil"/>
            </w:tcBorders>
          </w:tcPr>
          <w:p w14:paraId="2D47E82B"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26</w:t>
            </w:r>
          </w:p>
        </w:tc>
        <w:tc>
          <w:tcPr>
            <w:tcW w:w="1368" w:type="dxa"/>
            <w:tcBorders>
              <w:top w:val="nil"/>
              <w:left w:val="nil"/>
              <w:bottom w:val="nil"/>
              <w:right w:val="nil"/>
            </w:tcBorders>
            <w:shd w:val="clear" w:color="auto" w:fill="auto"/>
          </w:tcPr>
          <w:p w14:paraId="3AA2878C"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26</w:t>
            </w:r>
          </w:p>
        </w:tc>
        <w:tc>
          <w:tcPr>
            <w:tcW w:w="1311" w:type="dxa"/>
            <w:tcBorders>
              <w:top w:val="nil"/>
              <w:left w:val="nil"/>
              <w:bottom w:val="nil"/>
              <w:right w:val="nil"/>
            </w:tcBorders>
            <w:shd w:val="clear" w:color="auto" w:fill="auto"/>
          </w:tcPr>
          <w:p w14:paraId="0836DC1B"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27</w:t>
            </w:r>
          </w:p>
        </w:tc>
        <w:tc>
          <w:tcPr>
            <w:tcW w:w="1425" w:type="dxa"/>
            <w:tcBorders>
              <w:top w:val="nil"/>
              <w:left w:val="nil"/>
              <w:bottom w:val="nil"/>
            </w:tcBorders>
            <w:shd w:val="clear" w:color="auto" w:fill="auto"/>
          </w:tcPr>
          <w:p w14:paraId="3BA6ADE8"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27</w:t>
            </w:r>
          </w:p>
        </w:tc>
      </w:tr>
      <w:tr w:rsidR="00571B40" w:rsidRPr="00571B40" w14:paraId="46F301FE" w14:textId="77777777" w:rsidTr="00405DCF">
        <w:tc>
          <w:tcPr>
            <w:tcW w:w="1283" w:type="dxa"/>
          </w:tcPr>
          <w:p w14:paraId="043D685E" w14:textId="77777777" w:rsidR="00571B40" w:rsidRPr="00571B40" w:rsidRDefault="00571B40" w:rsidP="00571B40">
            <w:pPr>
              <w:spacing w:after="0" w:line="240" w:lineRule="auto"/>
              <w:jc w:val="both"/>
              <w:rPr>
                <w:rFonts w:eastAsia="Calibri"/>
                <w:b/>
                <w:sz w:val="22"/>
                <w:szCs w:val="22"/>
                <w:lang w:val="en-GB"/>
              </w:rPr>
            </w:pPr>
            <w:r w:rsidRPr="00571B40">
              <w:rPr>
                <w:rFonts w:eastAsia="Calibri"/>
                <w:b/>
                <w:sz w:val="22"/>
                <w:szCs w:val="22"/>
              </w:rPr>
              <w:t>Latgale</w:t>
            </w:r>
          </w:p>
        </w:tc>
        <w:tc>
          <w:tcPr>
            <w:tcW w:w="1333" w:type="dxa"/>
            <w:tcBorders>
              <w:top w:val="nil"/>
              <w:bottom w:val="nil"/>
              <w:right w:val="nil"/>
            </w:tcBorders>
          </w:tcPr>
          <w:p w14:paraId="42D9931F"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20</w:t>
            </w:r>
          </w:p>
        </w:tc>
        <w:tc>
          <w:tcPr>
            <w:tcW w:w="1333" w:type="dxa"/>
            <w:tcBorders>
              <w:top w:val="nil"/>
              <w:left w:val="nil"/>
              <w:bottom w:val="nil"/>
              <w:right w:val="nil"/>
            </w:tcBorders>
          </w:tcPr>
          <w:p w14:paraId="2FEDF636"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19</w:t>
            </w:r>
          </w:p>
        </w:tc>
        <w:tc>
          <w:tcPr>
            <w:tcW w:w="1333" w:type="dxa"/>
            <w:tcBorders>
              <w:top w:val="nil"/>
              <w:left w:val="nil"/>
              <w:bottom w:val="nil"/>
              <w:right w:val="nil"/>
            </w:tcBorders>
          </w:tcPr>
          <w:p w14:paraId="570B4950"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18</w:t>
            </w:r>
          </w:p>
        </w:tc>
        <w:tc>
          <w:tcPr>
            <w:tcW w:w="1333" w:type="dxa"/>
            <w:tcBorders>
              <w:top w:val="nil"/>
              <w:left w:val="nil"/>
              <w:bottom w:val="nil"/>
              <w:right w:val="nil"/>
            </w:tcBorders>
          </w:tcPr>
          <w:p w14:paraId="670857C7"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17</w:t>
            </w:r>
          </w:p>
        </w:tc>
        <w:tc>
          <w:tcPr>
            <w:tcW w:w="1368" w:type="dxa"/>
            <w:tcBorders>
              <w:top w:val="nil"/>
              <w:left w:val="nil"/>
              <w:bottom w:val="nil"/>
              <w:right w:val="nil"/>
            </w:tcBorders>
            <w:shd w:val="clear" w:color="auto" w:fill="auto"/>
          </w:tcPr>
          <w:p w14:paraId="461C65B4"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16</w:t>
            </w:r>
          </w:p>
        </w:tc>
        <w:tc>
          <w:tcPr>
            <w:tcW w:w="1311" w:type="dxa"/>
            <w:tcBorders>
              <w:top w:val="nil"/>
              <w:left w:val="nil"/>
              <w:bottom w:val="nil"/>
              <w:right w:val="nil"/>
            </w:tcBorders>
            <w:shd w:val="clear" w:color="auto" w:fill="auto"/>
          </w:tcPr>
          <w:p w14:paraId="4A768042"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16</w:t>
            </w:r>
          </w:p>
        </w:tc>
        <w:tc>
          <w:tcPr>
            <w:tcW w:w="1425" w:type="dxa"/>
            <w:tcBorders>
              <w:top w:val="nil"/>
              <w:left w:val="nil"/>
              <w:bottom w:val="nil"/>
            </w:tcBorders>
            <w:shd w:val="clear" w:color="auto" w:fill="auto"/>
          </w:tcPr>
          <w:p w14:paraId="3F2343F6"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15</w:t>
            </w:r>
          </w:p>
        </w:tc>
      </w:tr>
      <w:tr w:rsidR="00571B40" w:rsidRPr="00571B40" w14:paraId="470BC577" w14:textId="77777777" w:rsidTr="00405DCF">
        <w:tc>
          <w:tcPr>
            <w:tcW w:w="1283" w:type="dxa"/>
          </w:tcPr>
          <w:p w14:paraId="73A04E01" w14:textId="77777777" w:rsidR="00571B40" w:rsidRPr="00571B40" w:rsidRDefault="00571B40" w:rsidP="00571B40">
            <w:pPr>
              <w:spacing w:after="0" w:line="240" w:lineRule="auto"/>
              <w:jc w:val="both"/>
              <w:rPr>
                <w:rFonts w:eastAsia="Calibri"/>
                <w:b/>
                <w:sz w:val="22"/>
                <w:szCs w:val="22"/>
                <w:lang w:val="en-GB"/>
              </w:rPr>
            </w:pPr>
            <w:r w:rsidRPr="00571B40">
              <w:rPr>
                <w:rFonts w:eastAsia="Calibri"/>
                <w:b/>
                <w:sz w:val="22"/>
                <w:szCs w:val="22"/>
              </w:rPr>
              <w:t>Kurzeme</w:t>
            </w:r>
          </w:p>
        </w:tc>
        <w:tc>
          <w:tcPr>
            <w:tcW w:w="1333" w:type="dxa"/>
            <w:tcBorders>
              <w:top w:val="nil"/>
              <w:bottom w:val="nil"/>
              <w:right w:val="nil"/>
            </w:tcBorders>
          </w:tcPr>
          <w:p w14:paraId="67DD694F"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14</w:t>
            </w:r>
          </w:p>
        </w:tc>
        <w:tc>
          <w:tcPr>
            <w:tcW w:w="1333" w:type="dxa"/>
            <w:tcBorders>
              <w:top w:val="nil"/>
              <w:left w:val="nil"/>
              <w:bottom w:val="nil"/>
              <w:right w:val="nil"/>
            </w:tcBorders>
          </w:tcPr>
          <w:p w14:paraId="341DD9BC"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14</w:t>
            </w:r>
          </w:p>
        </w:tc>
        <w:tc>
          <w:tcPr>
            <w:tcW w:w="1333" w:type="dxa"/>
            <w:tcBorders>
              <w:top w:val="nil"/>
              <w:left w:val="nil"/>
              <w:bottom w:val="nil"/>
              <w:right w:val="nil"/>
            </w:tcBorders>
          </w:tcPr>
          <w:p w14:paraId="7836D98F"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14</w:t>
            </w:r>
          </w:p>
        </w:tc>
        <w:tc>
          <w:tcPr>
            <w:tcW w:w="1333" w:type="dxa"/>
            <w:tcBorders>
              <w:top w:val="nil"/>
              <w:left w:val="nil"/>
              <w:bottom w:val="nil"/>
              <w:right w:val="nil"/>
            </w:tcBorders>
          </w:tcPr>
          <w:p w14:paraId="6B45421A"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14</w:t>
            </w:r>
          </w:p>
        </w:tc>
        <w:tc>
          <w:tcPr>
            <w:tcW w:w="1368" w:type="dxa"/>
            <w:tcBorders>
              <w:top w:val="nil"/>
              <w:left w:val="nil"/>
              <w:bottom w:val="nil"/>
              <w:right w:val="nil"/>
            </w:tcBorders>
            <w:shd w:val="clear" w:color="auto" w:fill="auto"/>
          </w:tcPr>
          <w:p w14:paraId="5B05C2B9"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14</w:t>
            </w:r>
          </w:p>
        </w:tc>
        <w:tc>
          <w:tcPr>
            <w:tcW w:w="1311" w:type="dxa"/>
            <w:tcBorders>
              <w:top w:val="nil"/>
              <w:left w:val="nil"/>
              <w:bottom w:val="nil"/>
              <w:right w:val="nil"/>
            </w:tcBorders>
            <w:shd w:val="clear" w:color="auto" w:fill="auto"/>
          </w:tcPr>
          <w:p w14:paraId="070C26FA"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13</w:t>
            </w:r>
          </w:p>
        </w:tc>
        <w:tc>
          <w:tcPr>
            <w:tcW w:w="1425" w:type="dxa"/>
            <w:tcBorders>
              <w:top w:val="nil"/>
              <w:left w:val="nil"/>
              <w:bottom w:val="nil"/>
            </w:tcBorders>
            <w:shd w:val="clear" w:color="auto" w:fill="auto"/>
          </w:tcPr>
          <w:p w14:paraId="783FEA48"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13</w:t>
            </w:r>
          </w:p>
        </w:tc>
      </w:tr>
      <w:tr w:rsidR="00571B40" w:rsidRPr="00571B40" w14:paraId="6D9241EE" w14:textId="77777777" w:rsidTr="00405DCF">
        <w:tc>
          <w:tcPr>
            <w:tcW w:w="1283" w:type="dxa"/>
          </w:tcPr>
          <w:p w14:paraId="29A34311" w14:textId="77777777" w:rsidR="00571B40" w:rsidRPr="00571B40" w:rsidRDefault="00571B40" w:rsidP="00571B40">
            <w:pPr>
              <w:spacing w:after="0" w:line="240" w:lineRule="auto"/>
              <w:jc w:val="both"/>
              <w:rPr>
                <w:rFonts w:eastAsia="Calibri"/>
                <w:b/>
                <w:sz w:val="22"/>
                <w:szCs w:val="22"/>
                <w:lang w:val="en-GB"/>
              </w:rPr>
            </w:pPr>
            <w:r w:rsidRPr="00571B40">
              <w:rPr>
                <w:rFonts w:eastAsia="Calibri"/>
                <w:b/>
                <w:sz w:val="22"/>
                <w:szCs w:val="22"/>
              </w:rPr>
              <w:t>Zemgale</w:t>
            </w:r>
          </w:p>
        </w:tc>
        <w:tc>
          <w:tcPr>
            <w:tcW w:w="1333" w:type="dxa"/>
            <w:tcBorders>
              <w:top w:val="nil"/>
              <w:bottom w:val="nil"/>
              <w:right w:val="nil"/>
            </w:tcBorders>
          </w:tcPr>
          <w:p w14:paraId="7750BF09"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16</w:t>
            </w:r>
          </w:p>
        </w:tc>
        <w:tc>
          <w:tcPr>
            <w:tcW w:w="1333" w:type="dxa"/>
            <w:tcBorders>
              <w:top w:val="nil"/>
              <w:left w:val="nil"/>
              <w:bottom w:val="nil"/>
              <w:right w:val="nil"/>
            </w:tcBorders>
          </w:tcPr>
          <w:p w14:paraId="6FBDB0A1"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15</w:t>
            </w:r>
          </w:p>
        </w:tc>
        <w:tc>
          <w:tcPr>
            <w:tcW w:w="1333" w:type="dxa"/>
            <w:tcBorders>
              <w:top w:val="nil"/>
              <w:left w:val="nil"/>
              <w:bottom w:val="nil"/>
              <w:right w:val="nil"/>
            </w:tcBorders>
          </w:tcPr>
          <w:p w14:paraId="5B2E1423"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15</w:t>
            </w:r>
          </w:p>
        </w:tc>
        <w:tc>
          <w:tcPr>
            <w:tcW w:w="1333" w:type="dxa"/>
            <w:tcBorders>
              <w:top w:val="nil"/>
              <w:left w:val="nil"/>
              <w:bottom w:val="nil"/>
              <w:right w:val="nil"/>
            </w:tcBorders>
          </w:tcPr>
          <w:p w14:paraId="11C7621A"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15</w:t>
            </w:r>
          </w:p>
        </w:tc>
        <w:tc>
          <w:tcPr>
            <w:tcW w:w="1368" w:type="dxa"/>
            <w:tcBorders>
              <w:top w:val="nil"/>
              <w:left w:val="nil"/>
              <w:bottom w:val="nil"/>
              <w:right w:val="nil"/>
            </w:tcBorders>
            <w:shd w:val="clear" w:color="auto" w:fill="auto"/>
          </w:tcPr>
          <w:p w14:paraId="290B3BB0"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15</w:t>
            </w:r>
          </w:p>
        </w:tc>
        <w:tc>
          <w:tcPr>
            <w:tcW w:w="1311" w:type="dxa"/>
            <w:tcBorders>
              <w:top w:val="nil"/>
              <w:left w:val="nil"/>
              <w:bottom w:val="nil"/>
              <w:right w:val="nil"/>
            </w:tcBorders>
            <w:shd w:val="clear" w:color="auto" w:fill="auto"/>
          </w:tcPr>
          <w:p w14:paraId="2EFDAA47"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15</w:t>
            </w:r>
          </w:p>
        </w:tc>
        <w:tc>
          <w:tcPr>
            <w:tcW w:w="1425" w:type="dxa"/>
            <w:tcBorders>
              <w:top w:val="nil"/>
              <w:left w:val="nil"/>
              <w:bottom w:val="nil"/>
            </w:tcBorders>
            <w:shd w:val="clear" w:color="auto" w:fill="auto"/>
          </w:tcPr>
          <w:p w14:paraId="547A2961"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15</w:t>
            </w:r>
          </w:p>
        </w:tc>
      </w:tr>
      <w:tr w:rsidR="00571B40" w:rsidRPr="00571B40" w14:paraId="28CBE776" w14:textId="77777777" w:rsidTr="00405DCF">
        <w:tc>
          <w:tcPr>
            <w:tcW w:w="1283" w:type="dxa"/>
          </w:tcPr>
          <w:p w14:paraId="1EF8438B" w14:textId="77777777" w:rsidR="00571B40" w:rsidRPr="00571B40" w:rsidRDefault="00571B40" w:rsidP="00571B40">
            <w:pPr>
              <w:spacing w:after="0" w:line="240" w:lineRule="auto"/>
              <w:jc w:val="both"/>
              <w:rPr>
                <w:rFonts w:eastAsia="Calibri"/>
                <w:b/>
                <w:sz w:val="22"/>
                <w:szCs w:val="22"/>
              </w:rPr>
            </w:pPr>
            <w:r w:rsidRPr="00571B40">
              <w:rPr>
                <w:rFonts w:eastAsia="Calibri"/>
                <w:b/>
                <w:sz w:val="22"/>
                <w:szCs w:val="22"/>
              </w:rPr>
              <w:t>Range</w:t>
            </w:r>
          </w:p>
        </w:tc>
        <w:tc>
          <w:tcPr>
            <w:tcW w:w="1333" w:type="dxa"/>
            <w:tcBorders>
              <w:top w:val="nil"/>
              <w:right w:val="nil"/>
            </w:tcBorders>
          </w:tcPr>
          <w:p w14:paraId="3543FD8B"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14-26</w:t>
            </w:r>
          </w:p>
        </w:tc>
        <w:tc>
          <w:tcPr>
            <w:tcW w:w="1333" w:type="dxa"/>
            <w:tcBorders>
              <w:top w:val="nil"/>
              <w:left w:val="nil"/>
              <w:right w:val="nil"/>
            </w:tcBorders>
          </w:tcPr>
          <w:p w14:paraId="0C62935E"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14-27</w:t>
            </w:r>
          </w:p>
        </w:tc>
        <w:tc>
          <w:tcPr>
            <w:tcW w:w="1333" w:type="dxa"/>
            <w:tcBorders>
              <w:top w:val="nil"/>
              <w:left w:val="nil"/>
              <w:right w:val="nil"/>
            </w:tcBorders>
          </w:tcPr>
          <w:p w14:paraId="3CBC36C5"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14-28</w:t>
            </w:r>
          </w:p>
        </w:tc>
        <w:tc>
          <w:tcPr>
            <w:tcW w:w="1333" w:type="dxa"/>
            <w:tcBorders>
              <w:top w:val="nil"/>
              <w:left w:val="nil"/>
              <w:right w:val="nil"/>
            </w:tcBorders>
          </w:tcPr>
          <w:p w14:paraId="1B8DF132"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14-28</w:t>
            </w:r>
          </w:p>
        </w:tc>
        <w:tc>
          <w:tcPr>
            <w:tcW w:w="1368" w:type="dxa"/>
            <w:tcBorders>
              <w:top w:val="nil"/>
              <w:left w:val="nil"/>
              <w:right w:val="nil"/>
            </w:tcBorders>
            <w:shd w:val="clear" w:color="auto" w:fill="auto"/>
          </w:tcPr>
          <w:p w14:paraId="2F6AC589"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15-29</w:t>
            </w:r>
          </w:p>
        </w:tc>
        <w:tc>
          <w:tcPr>
            <w:tcW w:w="1311" w:type="dxa"/>
            <w:tcBorders>
              <w:top w:val="nil"/>
              <w:left w:val="nil"/>
              <w:right w:val="nil"/>
            </w:tcBorders>
            <w:shd w:val="clear" w:color="auto" w:fill="auto"/>
          </w:tcPr>
          <w:p w14:paraId="2E28DF5A"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13-29</w:t>
            </w:r>
          </w:p>
        </w:tc>
        <w:tc>
          <w:tcPr>
            <w:tcW w:w="1425" w:type="dxa"/>
            <w:tcBorders>
              <w:top w:val="nil"/>
              <w:left w:val="nil"/>
            </w:tcBorders>
            <w:shd w:val="clear" w:color="auto" w:fill="auto"/>
          </w:tcPr>
          <w:p w14:paraId="710D5D94"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13-30</w:t>
            </w:r>
          </w:p>
        </w:tc>
      </w:tr>
      <w:tr w:rsidR="00571B40" w:rsidRPr="00571B40" w14:paraId="7ECDF478" w14:textId="77777777" w:rsidTr="00405DCF">
        <w:tc>
          <w:tcPr>
            <w:tcW w:w="1283" w:type="dxa"/>
          </w:tcPr>
          <w:p w14:paraId="317B548A" w14:textId="77777777" w:rsidR="00571B40" w:rsidRPr="00571B40" w:rsidRDefault="00571B40" w:rsidP="00571B40">
            <w:pPr>
              <w:spacing w:after="0" w:line="240" w:lineRule="auto"/>
              <w:jc w:val="both"/>
              <w:rPr>
                <w:rFonts w:eastAsia="Calibri"/>
                <w:b/>
                <w:sz w:val="22"/>
                <w:szCs w:val="22"/>
              </w:rPr>
            </w:pPr>
            <w:r w:rsidRPr="00571B40">
              <w:rPr>
                <w:rFonts w:eastAsia="Calibri"/>
                <w:b/>
                <w:sz w:val="22"/>
                <w:szCs w:val="22"/>
              </w:rPr>
              <w:t>Mean</w:t>
            </w:r>
          </w:p>
        </w:tc>
        <w:tc>
          <w:tcPr>
            <w:tcW w:w="9436" w:type="dxa"/>
            <w:gridSpan w:val="7"/>
          </w:tcPr>
          <w:p w14:paraId="6366EE39" w14:textId="77777777" w:rsidR="00571B40" w:rsidRPr="00571B40" w:rsidRDefault="00571B40" w:rsidP="00571B40">
            <w:pPr>
              <w:spacing w:after="0" w:line="240" w:lineRule="auto"/>
              <w:jc w:val="center"/>
              <w:rPr>
                <w:rFonts w:eastAsia="Calibri"/>
                <w:sz w:val="22"/>
                <w:szCs w:val="22"/>
                <w:lang w:val="en-GB"/>
              </w:rPr>
            </w:pPr>
            <w:r w:rsidRPr="00571B40">
              <w:rPr>
                <w:rFonts w:eastAsia="Calibri"/>
                <w:sz w:val="22"/>
                <w:szCs w:val="22"/>
                <w:lang w:val="en-GB"/>
              </w:rPr>
              <w:t>20</w:t>
            </w:r>
          </w:p>
        </w:tc>
      </w:tr>
    </w:tbl>
    <w:p w14:paraId="180DFE42" w14:textId="6C4E5D4E" w:rsidR="00571B40" w:rsidRPr="00571B40" w:rsidRDefault="00571B40" w:rsidP="00405DCF">
      <w:pPr>
        <w:keepNext/>
        <w:spacing w:before="240" w:after="60" w:line="240" w:lineRule="auto"/>
        <w:jc w:val="both"/>
        <w:outlineLvl w:val="2"/>
        <w:rPr>
          <w:rFonts w:eastAsia="Times New Roman"/>
          <w:sz w:val="22"/>
          <w:szCs w:val="22"/>
          <w:lang w:val="en-GB" w:eastAsia="sk-SK"/>
        </w:rPr>
      </w:pPr>
      <w:bookmarkStart w:id="41" w:name="_Toc297204335"/>
      <w:bookmarkStart w:id="42" w:name="_Toc297204682"/>
      <w:bookmarkStart w:id="43" w:name="_Toc297204743"/>
      <w:bookmarkStart w:id="44" w:name="_Toc297204907"/>
      <w:bookmarkStart w:id="45" w:name="_Toc297206006"/>
      <w:bookmarkStart w:id="46" w:name="_Toc297215886"/>
      <w:bookmarkStart w:id="47" w:name="_Toc297227833"/>
      <w:bookmarkStart w:id="48" w:name="_Toc297228358"/>
      <w:bookmarkEnd w:id="39"/>
      <w:bookmarkEnd w:id="40"/>
      <w:r w:rsidRPr="00571B40">
        <w:rPr>
          <w:rFonts w:eastAsia="Times New Roman"/>
          <w:bCs/>
          <w:i/>
          <w:sz w:val="22"/>
          <w:szCs w:val="22"/>
          <w:lang w:val="en-GB" w:eastAsia="sk-SK"/>
        </w:rPr>
        <w:t>Eligibility to vote</w:t>
      </w:r>
      <w:bookmarkEnd w:id="41"/>
      <w:bookmarkEnd w:id="42"/>
      <w:bookmarkEnd w:id="43"/>
      <w:bookmarkEnd w:id="44"/>
      <w:bookmarkEnd w:id="45"/>
      <w:bookmarkEnd w:id="46"/>
      <w:bookmarkEnd w:id="47"/>
      <w:bookmarkEnd w:id="48"/>
      <w:r w:rsidR="00405DCF">
        <w:rPr>
          <w:rFonts w:eastAsia="Times New Roman"/>
          <w:bCs/>
          <w:i/>
          <w:sz w:val="22"/>
          <w:szCs w:val="22"/>
          <w:lang w:val="en-GB" w:eastAsia="sk-SK"/>
        </w:rPr>
        <w:t xml:space="preserve"> </w:t>
      </w:r>
      <w:proofErr w:type="gramStart"/>
      <w:r w:rsidRPr="00571B40">
        <w:rPr>
          <w:rFonts w:eastAsia="Times New Roman"/>
          <w:sz w:val="22"/>
          <w:szCs w:val="22"/>
          <w:lang w:val="en-GB" w:eastAsia="sk-SK"/>
        </w:rPr>
        <w:t>Whereas</w:t>
      </w:r>
      <w:proofErr w:type="gramEnd"/>
      <w:r w:rsidRPr="00571B40">
        <w:rPr>
          <w:rFonts w:eastAsia="Times New Roman"/>
          <w:sz w:val="22"/>
          <w:szCs w:val="22"/>
          <w:lang w:val="en-GB" w:eastAsia="sk-SK"/>
        </w:rPr>
        <w:t xml:space="preserve"> at the 1990 elections Soviet conscripts stationed in Latvia and permanent residents had the right to vote, the 1992 law restricted voting to only Latvian citizens.</w:t>
      </w:r>
      <w:r w:rsidRPr="00571B40">
        <w:rPr>
          <w:rFonts w:eastAsia="Times New Roman"/>
          <w:sz w:val="22"/>
          <w:szCs w:val="22"/>
          <w:vertAlign w:val="superscript"/>
          <w:lang w:val="en-GB" w:eastAsia="sk-SK"/>
        </w:rPr>
        <w:footnoteReference w:id="32"/>
      </w:r>
      <w:r w:rsidRPr="00571B40">
        <w:rPr>
          <w:rFonts w:eastAsia="Times New Roman"/>
          <w:sz w:val="22"/>
          <w:szCs w:val="22"/>
          <w:lang w:val="en-GB" w:eastAsia="sk-SK"/>
        </w:rPr>
        <w:t xml:space="preserve"> The introduction of this requirement in 1992 served to disenfranchise as much as one third of the population between the 1990 and the first post-soviet elections of 1993, as </w:t>
      </w:r>
      <w:r w:rsidRPr="00571B40">
        <w:rPr>
          <w:rFonts w:eastAsia="Times New Roman"/>
          <w:sz w:val="22"/>
          <w:szCs w:val="22"/>
          <w:lang w:val="en-GB" w:eastAsia="sk-SK"/>
        </w:rPr>
        <w:lastRenderedPageBreak/>
        <w:t>evident from the sharp reduction in the size of the electorate from 1,960,639 to 1,243,956 (Mikkel &amp; Pettai 2004 p 335). Since 1992 the law has provided non-resident Latvian citizens, abroad, with the right to vote.</w:t>
      </w:r>
      <w:r w:rsidRPr="00571B40">
        <w:rPr>
          <w:rFonts w:eastAsia="Times New Roman"/>
          <w:sz w:val="22"/>
          <w:szCs w:val="22"/>
          <w:vertAlign w:val="superscript"/>
          <w:lang w:val="en-GB" w:eastAsia="sk-SK"/>
        </w:rPr>
        <w:footnoteReference w:id="33"/>
      </w:r>
    </w:p>
    <w:p w14:paraId="068479B6" w14:textId="630504EA" w:rsidR="00571B40" w:rsidRPr="00571B40" w:rsidRDefault="00571B40" w:rsidP="00405DCF">
      <w:pPr>
        <w:keepNext/>
        <w:spacing w:before="240" w:after="60" w:line="240" w:lineRule="auto"/>
        <w:jc w:val="both"/>
        <w:outlineLvl w:val="2"/>
        <w:rPr>
          <w:rFonts w:eastAsia="Times New Roman"/>
          <w:sz w:val="22"/>
          <w:szCs w:val="22"/>
          <w:lang w:val="en-GB" w:eastAsia="sk-SK"/>
        </w:rPr>
      </w:pPr>
      <w:bookmarkStart w:id="49" w:name="_Toc297204340"/>
      <w:bookmarkStart w:id="50" w:name="_Toc297204687"/>
      <w:bookmarkStart w:id="51" w:name="_Toc297204748"/>
      <w:bookmarkStart w:id="52" w:name="_Toc297204912"/>
      <w:bookmarkStart w:id="53" w:name="_Toc297206011"/>
      <w:bookmarkStart w:id="54" w:name="_Toc297215887"/>
      <w:bookmarkStart w:id="55" w:name="_Toc297227834"/>
      <w:bookmarkStart w:id="56" w:name="_Toc297228359"/>
      <w:bookmarkStart w:id="57" w:name="_Toc297204336"/>
      <w:bookmarkStart w:id="58" w:name="_Toc297204683"/>
      <w:bookmarkStart w:id="59" w:name="_Toc297204744"/>
      <w:bookmarkStart w:id="60" w:name="_Toc297204908"/>
      <w:r w:rsidRPr="00571B40">
        <w:rPr>
          <w:rFonts w:eastAsia="Times New Roman"/>
          <w:bCs/>
          <w:i/>
          <w:sz w:val="22"/>
          <w:szCs w:val="22"/>
          <w:lang w:val="en-GB" w:eastAsia="sk-SK"/>
        </w:rPr>
        <w:t>Restrictions on who can run as candidates</w:t>
      </w:r>
      <w:bookmarkEnd w:id="49"/>
      <w:bookmarkEnd w:id="50"/>
      <w:bookmarkEnd w:id="51"/>
      <w:bookmarkEnd w:id="52"/>
      <w:bookmarkEnd w:id="53"/>
      <w:bookmarkEnd w:id="54"/>
      <w:bookmarkEnd w:id="55"/>
      <w:bookmarkEnd w:id="56"/>
      <w:r w:rsidR="00405DCF">
        <w:rPr>
          <w:rFonts w:eastAsia="Times New Roman"/>
          <w:bCs/>
          <w:i/>
          <w:sz w:val="22"/>
          <w:szCs w:val="22"/>
          <w:lang w:val="en-GB" w:eastAsia="sk-SK"/>
        </w:rPr>
        <w:t xml:space="preserve"> </w:t>
      </w:r>
      <w:proofErr w:type="gramStart"/>
      <w:r w:rsidRPr="00571B40">
        <w:rPr>
          <w:rFonts w:eastAsia="Times New Roman"/>
          <w:sz w:val="22"/>
          <w:szCs w:val="22"/>
          <w:lang w:val="en-GB" w:eastAsia="sk-SK"/>
        </w:rPr>
        <w:t>There</w:t>
      </w:r>
      <w:proofErr w:type="gramEnd"/>
      <w:r w:rsidRPr="00571B40">
        <w:rPr>
          <w:rFonts w:eastAsia="Times New Roman"/>
          <w:sz w:val="22"/>
          <w:szCs w:val="22"/>
          <w:lang w:val="en-GB" w:eastAsia="sk-SK"/>
        </w:rPr>
        <w:t xml:space="preserve"> are also considerable restrictions on who may run as a candidate in the elections to the Saeima. The 1992 law stipulated that Soviet era security service personnel and anyone affiliated to the Latvian SSR or USSR, were prohibited from competing as candidates.</w:t>
      </w:r>
      <w:r w:rsidRPr="00571B40">
        <w:rPr>
          <w:rFonts w:eastAsia="Times New Roman"/>
          <w:sz w:val="22"/>
          <w:szCs w:val="22"/>
          <w:vertAlign w:val="superscript"/>
          <w:lang w:val="en-GB" w:eastAsia="sk-SK"/>
        </w:rPr>
        <w:footnoteReference w:id="34"/>
      </w:r>
      <w:r w:rsidRPr="00571B40">
        <w:rPr>
          <w:rFonts w:eastAsia="Times New Roman"/>
          <w:sz w:val="22"/>
          <w:szCs w:val="22"/>
          <w:lang w:val="en-GB" w:eastAsia="sk-SK"/>
        </w:rPr>
        <w:t xml:space="preserve"> This provision remains, at time of writing, in the 1995 law.</w:t>
      </w:r>
      <w:r w:rsidRPr="00571B40">
        <w:rPr>
          <w:rFonts w:eastAsia="Times New Roman"/>
          <w:sz w:val="22"/>
          <w:szCs w:val="22"/>
          <w:vertAlign w:val="superscript"/>
          <w:lang w:val="en-GB" w:eastAsia="sk-SK"/>
        </w:rPr>
        <w:footnoteReference w:id="35"/>
      </w:r>
      <w:r w:rsidRPr="00571B40">
        <w:rPr>
          <w:rFonts w:eastAsia="Times New Roman"/>
          <w:sz w:val="22"/>
          <w:szCs w:val="22"/>
          <w:lang w:val="en-GB" w:eastAsia="sk-SK"/>
        </w:rPr>
        <w:t xml:space="preserve"> Commentators have noted that this provision penalised, in particular, the Social Democrat party, whose leader, Juris Bojars, had served in the KGB (Mikkel &amp; Pettai 2004 p 336). Various complaints have been lodged with the Latvian Constitutional Court and European Court, but both courts have to date issued judgments that have upheld the Latvian Government’s right to retain this unusual restriction, as discussed later in Section 8. </w:t>
      </w:r>
    </w:p>
    <w:p w14:paraId="233DFE7B" w14:textId="77777777" w:rsidR="00571B40" w:rsidRPr="00571B40" w:rsidRDefault="00571B40" w:rsidP="00571B40">
      <w:pPr>
        <w:spacing w:after="0" w:line="240" w:lineRule="auto"/>
        <w:jc w:val="both"/>
        <w:rPr>
          <w:rFonts w:eastAsia="Times New Roman"/>
          <w:sz w:val="22"/>
          <w:szCs w:val="22"/>
          <w:lang w:val="en-GB" w:eastAsia="sk-SK"/>
        </w:rPr>
      </w:pPr>
    </w:p>
    <w:p w14:paraId="1C58737A" w14:textId="77777777" w:rsidR="00571B40" w:rsidRPr="00571B40" w:rsidRDefault="00571B40" w:rsidP="00571B40">
      <w:pPr>
        <w:spacing w:after="0" w:line="240" w:lineRule="auto"/>
        <w:jc w:val="both"/>
        <w:rPr>
          <w:rFonts w:eastAsia="Times New Roman"/>
          <w:sz w:val="22"/>
          <w:szCs w:val="22"/>
          <w:lang w:val="en-GB" w:eastAsia="sk-SK"/>
        </w:rPr>
      </w:pPr>
      <w:r w:rsidRPr="00571B40">
        <w:rPr>
          <w:rFonts w:eastAsia="Times New Roman"/>
          <w:sz w:val="22"/>
          <w:szCs w:val="22"/>
          <w:lang w:val="en-GB" w:eastAsia="sk-SK"/>
        </w:rPr>
        <w:t>At the same time, the law provides considerable latitude to candidates in other respects. The 1992 law provided candidates with the right to compete simultaneously in more than one electoral district, so long as they run as candidates for the same party etc. in each.</w:t>
      </w:r>
      <w:r w:rsidRPr="00571B40">
        <w:rPr>
          <w:rFonts w:eastAsia="Times New Roman"/>
          <w:sz w:val="22"/>
          <w:szCs w:val="22"/>
          <w:vertAlign w:val="superscript"/>
          <w:lang w:val="en-GB" w:eastAsia="sk-SK"/>
        </w:rPr>
        <w:footnoteReference w:id="36"/>
      </w:r>
      <w:r w:rsidRPr="00571B40">
        <w:rPr>
          <w:rFonts w:eastAsia="Times New Roman"/>
          <w:sz w:val="22"/>
          <w:szCs w:val="22"/>
          <w:lang w:val="en-GB" w:eastAsia="sk-SK"/>
        </w:rPr>
        <w:t xml:space="preserve"> It follows from this, that the law does not require candidates to be residents of the electoral district where they are competing.</w:t>
      </w:r>
      <w:r w:rsidRPr="00571B40">
        <w:rPr>
          <w:rFonts w:eastAsia="Times New Roman"/>
          <w:sz w:val="22"/>
          <w:szCs w:val="22"/>
          <w:vertAlign w:val="superscript"/>
          <w:lang w:val="en-GB" w:eastAsia="sk-SK"/>
        </w:rPr>
        <w:footnoteReference w:id="37"/>
      </w:r>
      <w:r w:rsidRPr="00571B40">
        <w:rPr>
          <w:rFonts w:eastAsia="Times New Roman"/>
          <w:sz w:val="22"/>
          <w:szCs w:val="22"/>
          <w:lang w:val="en-GB" w:eastAsia="sk-SK"/>
        </w:rPr>
        <w:t xml:space="preserve"> </w:t>
      </w:r>
    </w:p>
    <w:p w14:paraId="6B440F8E" w14:textId="0A06FC0C" w:rsidR="00571B40" w:rsidRPr="00571B40" w:rsidRDefault="00571B40" w:rsidP="00405DCF">
      <w:pPr>
        <w:keepNext/>
        <w:spacing w:before="240" w:after="60" w:line="240" w:lineRule="auto"/>
        <w:jc w:val="both"/>
        <w:outlineLvl w:val="2"/>
        <w:rPr>
          <w:rFonts w:eastAsia="Calibri"/>
          <w:sz w:val="22"/>
          <w:szCs w:val="22"/>
          <w:lang w:val="en-GB"/>
        </w:rPr>
      </w:pPr>
      <w:bookmarkStart w:id="61" w:name="_Toc297227839"/>
      <w:bookmarkStart w:id="62" w:name="_Toc297228364"/>
      <w:bookmarkEnd w:id="57"/>
      <w:bookmarkEnd w:id="58"/>
      <w:bookmarkEnd w:id="59"/>
      <w:bookmarkEnd w:id="60"/>
      <w:r w:rsidRPr="00571B40">
        <w:rPr>
          <w:rFonts w:eastAsia="Times New Roman"/>
          <w:bCs/>
          <w:i/>
          <w:sz w:val="22"/>
          <w:szCs w:val="22"/>
          <w:lang w:val="en-GB" w:eastAsia="sk-SK"/>
        </w:rPr>
        <w:t>Vacant mandates</w:t>
      </w:r>
      <w:bookmarkEnd w:id="61"/>
      <w:bookmarkEnd w:id="62"/>
      <w:r w:rsidR="00405DCF">
        <w:rPr>
          <w:rFonts w:eastAsia="Times New Roman"/>
          <w:bCs/>
          <w:i/>
          <w:sz w:val="22"/>
          <w:szCs w:val="22"/>
          <w:lang w:val="en-GB" w:eastAsia="sk-SK"/>
        </w:rPr>
        <w:t xml:space="preserve"> </w:t>
      </w:r>
      <w:r w:rsidRPr="00571B40">
        <w:rPr>
          <w:rFonts w:eastAsia="Calibri"/>
          <w:sz w:val="22"/>
          <w:szCs w:val="22"/>
          <w:lang w:val="en-GB"/>
        </w:rPr>
        <w:t>In the event that a seat becomes vacant during a parliamentary session, the 1992 law provided that the next candidate on the same candidate list should take over the position.</w:t>
      </w:r>
      <w:r w:rsidRPr="00571B40">
        <w:rPr>
          <w:rFonts w:eastAsia="Calibri"/>
          <w:sz w:val="22"/>
          <w:szCs w:val="22"/>
          <w:vertAlign w:val="superscript"/>
          <w:lang w:val="en-GB"/>
        </w:rPr>
        <w:footnoteReference w:id="38"/>
      </w:r>
      <w:r w:rsidRPr="00571B40">
        <w:rPr>
          <w:rFonts w:eastAsia="Calibri"/>
          <w:sz w:val="22"/>
          <w:szCs w:val="22"/>
          <w:lang w:val="en-GB"/>
        </w:rPr>
        <w:t xml:space="preserve"> In the event that there is no such other candidate on the relevant list, then another party list is selected according to the Sainte-Laguë method, as described in Article 51, and the candidate with the highest number of preference votes on that list selected.</w:t>
      </w:r>
      <w:r w:rsidRPr="00571B40">
        <w:rPr>
          <w:rFonts w:eastAsia="Calibri"/>
          <w:sz w:val="22"/>
          <w:szCs w:val="22"/>
          <w:vertAlign w:val="superscript"/>
          <w:lang w:val="en-GB"/>
        </w:rPr>
        <w:footnoteReference w:id="39"/>
      </w:r>
    </w:p>
    <w:p w14:paraId="2D159B05" w14:textId="77777777" w:rsidR="00571B40" w:rsidRPr="00571B40" w:rsidRDefault="00571B40" w:rsidP="00571B40">
      <w:pPr>
        <w:keepNext/>
        <w:spacing w:before="240" w:after="60" w:line="240" w:lineRule="auto"/>
        <w:jc w:val="both"/>
        <w:outlineLvl w:val="1"/>
        <w:rPr>
          <w:rFonts w:eastAsia="Times New Roman"/>
          <w:b/>
          <w:bCs/>
          <w:sz w:val="22"/>
          <w:szCs w:val="22"/>
          <w:lang w:val="en-GB" w:eastAsia="sk-SK"/>
        </w:rPr>
      </w:pPr>
      <w:bookmarkStart w:id="63" w:name="_Toc297204341"/>
      <w:bookmarkStart w:id="64" w:name="_Toc297204688"/>
      <w:bookmarkStart w:id="65" w:name="_Toc297204749"/>
      <w:bookmarkStart w:id="66" w:name="_Toc297204913"/>
      <w:bookmarkStart w:id="67" w:name="_Toc297206012"/>
      <w:bookmarkStart w:id="68" w:name="_Toc297215892"/>
      <w:bookmarkStart w:id="69" w:name="_Toc297227840"/>
      <w:bookmarkStart w:id="70" w:name="_Toc297228365"/>
    </w:p>
    <w:p w14:paraId="30E8DFF7" w14:textId="0A0C0236" w:rsidR="00571B40" w:rsidRDefault="00405DCF" w:rsidP="00571B40">
      <w:pPr>
        <w:keepNext/>
        <w:spacing w:before="240" w:after="60" w:line="240" w:lineRule="auto"/>
        <w:jc w:val="both"/>
        <w:outlineLvl w:val="1"/>
        <w:rPr>
          <w:rFonts w:eastAsia="Times New Roman"/>
          <w:b/>
          <w:bCs/>
          <w:i/>
          <w:sz w:val="22"/>
          <w:szCs w:val="22"/>
          <w:lang w:val="en-GB" w:eastAsia="sk-SK"/>
        </w:rPr>
      </w:pPr>
      <w:r w:rsidRPr="00405DCF">
        <w:rPr>
          <w:rFonts w:eastAsia="Times New Roman"/>
          <w:b/>
          <w:bCs/>
          <w:i/>
          <w:sz w:val="22"/>
          <w:szCs w:val="22"/>
          <w:lang w:val="en-GB" w:eastAsia="sk-SK"/>
        </w:rPr>
        <w:t>3.2</w:t>
      </w:r>
      <w:r w:rsidR="00571B40" w:rsidRPr="00571B40">
        <w:rPr>
          <w:rFonts w:eastAsia="Times New Roman"/>
          <w:b/>
          <w:bCs/>
          <w:i/>
          <w:sz w:val="22"/>
          <w:szCs w:val="22"/>
          <w:lang w:val="en-GB" w:eastAsia="sk-SK"/>
        </w:rPr>
        <w:t xml:space="preserve"> The 1995 Law</w:t>
      </w:r>
      <w:bookmarkEnd w:id="63"/>
      <w:bookmarkEnd w:id="64"/>
      <w:bookmarkEnd w:id="65"/>
      <w:bookmarkEnd w:id="66"/>
      <w:bookmarkEnd w:id="67"/>
      <w:bookmarkEnd w:id="68"/>
      <w:bookmarkEnd w:id="69"/>
      <w:bookmarkEnd w:id="70"/>
    </w:p>
    <w:p w14:paraId="09BD77E9" w14:textId="77777777" w:rsidR="00405DCF" w:rsidRPr="00571B40" w:rsidRDefault="00405DCF" w:rsidP="00571B40">
      <w:pPr>
        <w:keepNext/>
        <w:spacing w:before="240" w:after="60" w:line="240" w:lineRule="auto"/>
        <w:jc w:val="both"/>
        <w:outlineLvl w:val="1"/>
        <w:rPr>
          <w:rFonts w:eastAsia="Times New Roman"/>
          <w:b/>
          <w:bCs/>
          <w:i/>
          <w:sz w:val="22"/>
          <w:szCs w:val="22"/>
          <w:lang w:val="en-GB" w:eastAsia="sk-SK"/>
        </w:rPr>
      </w:pPr>
    </w:p>
    <w:p w14:paraId="70E4D5B4" w14:textId="77777777" w:rsidR="00571B40" w:rsidRPr="00571B40" w:rsidRDefault="00571B40" w:rsidP="00571B40">
      <w:pPr>
        <w:spacing w:after="0" w:line="240" w:lineRule="auto"/>
        <w:jc w:val="both"/>
        <w:rPr>
          <w:rFonts w:eastAsia="Times New Roman"/>
          <w:color w:val="000000"/>
          <w:sz w:val="22"/>
          <w:szCs w:val="22"/>
          <w:lang w:val="en" w:eastAsia="sk-SK"/>
        </w:rPr>
      </w:pPr>
      <w:bookmarkStart w:id="71" w:name="_Toc297204342"/>
      <w:bookmarkStart w:id="72" w:name="_Toc297204689"/>
      <w:bookmarkStart w:id="73" w:name="_Toc297204750"/>
      <w:bookmarkStart w:id="74" w:name="_Toc297204914"/>
      <w:bookmarkStart w:id="75" w:name="_Toc297206013"/>
      <w:bookmarkStart w:id="76" w:name="_Toc297215893"/>
      <w:r w:rsidRPr="00571B40">
        <w:rPr>
          <w:rFonts w:eastAsia="Times New Roman"/>
          <w:sz w:val="22"/>
          <w:szCs w:val="22"/>
          <w:lang w:val="en-GB" w:eastAsia="sk-SK"/>
        </w:rPr>
        <w:t>The 1995 law retained the same system as articulated in the 1992 law, but introduced some new restrictions on candidates and raised the threshold for competing parties and coalitions to secure mandates. At the same time, the new law</w:t>
      </w:r>
      <w:r w:rsidRPr="00571B40">
        <w:rPr>
          <w:rFonts w:eastAsia="Times New Roman"/>
          <w:color w:val="000000"/>
          <w:sz w:val="22"/>
          <w:szCs w:val="22"/>
          <w:lang w:val="en" w:eastAsia="sk-SK"/>
        </w:rPr>
        <w:t xml:space="preserve"> removed the restriction that citizens must vote in their constituency of residence, and instead provided citizens the right to vote in any constituency.</w:t>
      </w:r>
      <w:r w:rsidRPr="00571B40">
        <w:rPr>
          <w:rFonts w:eastAsia="Times New Roman"/>
          <w:color w:val="000000"/>
          <w:sz w:val="22"/>
          <w:szCs w:val="22"/>
          <w:vertAlign w:val="superscript"/>
          <w:lang w:val="en" w:eastAsia="sk-SK"/>
        </w:rPr>
        <w:footnoteReference w:id="40"/>
      </w:r>
      <w:r w:rsidRPr="00571B40">
        <w:rPr>
          <w:rFonts w:eastAsia="Times New Roman"/>
          <w:color w:val="000000"/>
          <w:sz w:val="22"/>
          <w:szCs w:val="22"/>
          <w:lang w:val="en" w:eastAsia="sk-SK"/>
        </w:rPr>
        <w:t xml:space="preserve"> </w:t>
      </w:r>
    </w:p>
    <w:p w14:paraId="15E74577" w14:textId="77777777" w:rsidR="00571B40" w:rsidRPr="00571B40" w:rsidRDefault="00571B40" w:rsidP="00405DCF">
      <w:pPr>
        <w:keepNext/>
        <w:spacing w:before="240" w:after="60" w:line="240" w:lineRule="auto"/>
        <w:jc w:val="both"/>
        <w:outlineLvl w:val="2"/>
        <w:rPr>
          <w:rFonts w:eastAsia="Times New Roman"/>
          <w:bCs/>
          <w:i/>
          <w:sz w:val="22"/>
          <w:szCs w:val="22"/>
          <w:lang w:val="en-GB" w:eastAsia="sk-SK"/>
        </w:rPr>
      </w:pPr>
      <w:bookmarkStart w:id="77" w:name="_Toc297227841"/>
      <w:bookmarkStart w:id="78" w:name="_Toc297228366"/>
      <w:r w:rsidRPr="00571B40">
        <w:rPr>
          <w:rFonts w:eastAsia="Times New Roman"/>
          <w:bCs/>
          <w:i/>
          <w:sz w:val="22"/>
          <w:szCs w:val="22"/>
          <w:lang w:val="en-GB" w:eastAsia="sk-SK"/>
        </w:rPr>
        <w:lastRenderedPageBreak/>
        <w:t>Thresholds</w:t>
      </w:r>
      <w:bookmarkEnd w:id="71"/>
      <w:bookmarkEnd w:id="72"/>
      <w:bookmarkEnd w:id="73"/>
      <w:bookmarkEnd w:id="74"/>
      <w:bookmarkEnd w:id="75"/>
      <w:bookmarkEnd w:id="76"/>
      <w:bookmarkEnd w:id="77"/>
      <w:bookmarkEnd w:id="78"/>
    </w:p>
    <w:p w14:paraId="6460AF6F" w14:textId="77777777" w:rsidR="00571B40" w:rsidRPr="00571B40" w:rsidRDefault="00571B40" w:rsidP="00571B40">
      <w:pPr>
        <w:spacing w:after="0" w:line="240" w:lineRule="auto"/>
        <w:jc w:val="both"/>
        <w:rPr>
          <w:rFonts w:eastAsia="Calibri"/>
          <w:sz w:val="22"/>
          <w:szCs w:val="22"/>
          <w:lang w:val="en-GB"/>
        </w:rPr>
      </w:pPr>
      <w:r w:rsidRPr="00571B40">
        <w:rPr>
          <w:rFonts w:eastAsia="Calibri"/>
          <w:sz w:val="22"/>
          <w:szCs w:val="22"/>
          <w:lang w:val="en-GB"/>
        </w:rPr>
        <w:t>The new 1995 law raised the thresholds for competing parties and coalitions to a minimum of five per cent of total votes cast.</w:t>
      </w:r>
      <w:r w:rsidRPr="00571B40">
        <w:rPr>
          <w:rFonts w:eastAsia="Calibri"/>
          <w:sz w:val="22"/>
          <w:szCs w:val="22"/>
          <w:vertAlign w:val="superscript"/>
          <w:lang w:val="en-GB"/>
        </w:rPr>
        <w:footnoteReference w:id="41"/>
      </w:r>
      <w:r w:rsidRPr="00571B40">
        <w:rPr>
          <w:rFonts w:eastAsia="Calibri"/>
          <w:sz w:val="22"/>
          <w:szCs w:val="22"/>
          <w:lang w:val="en-GB"/>
        </w:rPr>
        <w:t xml:space="preserve"> </w:t>
      </w:r>
    </w:p>
    <w:p w14:paraId="35068E59" w14:textId="77777777" w:rsidR="00405DCF" w:rsidRDefault="00405DCF" w:rsidP="00405DCF">
      <w:pPr>
        <w:keepNext/>
        <w:spacing w:before="240" w:after="60" w:line="240" w:lineRule="auto"/>
        <w:jc w:val="both"/>
        <w:outlineLvl w:val="2"/>
        <w:rPr>
          <w:rFonts w:eastAsia="Calibri"/>
          <w:sz w:val="22"/>
          <w:szCs w:val="22"/>
          <w:lang w:val="en-GB"/>
        </w:rPr>
      </w:pPr>
      <w:bookmarkStart w:id="79" w:name="_Toc297204343"/>
      <w:bookmarkStart w:id="80" w:name="_Toc297204690"/>
      <w:bookmarkStart w:id="81" w:name="_Toc297204751"/>
      <w:bookmarkStart w:id="82" w:name="_Toc297204915"/>
      <w:bookmarkStart w:id="83" w:name="_Toc297206014"/>
      <w:bookmarkStart w:id="84" w:name="_Toc297215894"/>
      <w:bookmarkStart w:id="85" w:name="_Toc297227842"/>
      <w:bookmarkStart w:id="86" w:name="_Toc297228367"/>
    </w:p>
    <w:p w14:paraId="2CC77F04" w14:textId="42AC6C68" w:rsidR="00571B40" w:rsidRPr="00571B40" w:rsidRDefault="00571B40" w:rsidP="00405DCF">
      <w:pPr>
        <w:keepNext/>
        <w:spacing w:before="240" w:after="60" w:line="240" w:lineRule="auto"/>
        <w:jc w:val="both"/>
        <w:outlineLvl w:val="2"/>
        <w:rPr>
          <w:rFonts w:eastAsia="Times New Roman"/>
          <w:color w:val="000000"/>
          <w:sz w:val="22"/>
          <w:szCs w:val="22"/>
          <w:lang w:val="en" w:eastAsia="sk-SK"/>
        </w:rPr>
      </w:pPr>
      <w:r w:rsidRPr="00571B40">
        <w:rPr>
          <w:rFonts w:eastAsia="Times New Roman"/>
          <w:bCs/>
          <w:i/>
          <w:sz w:val="22"/>
          <w:szCs w:val="22"/>
          <w:lang w:val="en-GB" w:eastAsia="sk-SK"/>
        </w:rPr>
        <w:t>Eligibility to run as candidates</w:t>
      </w:r>
      <w:bookmarkEnd w:id="79"/>
      <w:bookmarkEnd w:id="80"/>
      <w:bookmarkEnd w:id="81"/>
      <w:bookmarkEnd w:id="82"/>
      <w:bookmarkEnd w:id="83"/>
      <w:bookmarkEnd w:id="84"/>
      <w:bookmarkEnd w:id="85"/>
      <w:bookmarkEnd w:id="86"/>
      <w:r w:rsidR="00405DCF">
        <w:rPr>
          <w:rFonts w:eastAsia="Times New Roman"/>
          <w:bCs/>
          <w:i/>
          <w:sz w:val="22"/>
          <w:szCs w:val="22"/>
          <w:lang w:val="en-GB" w:eastAsia="sk-SK"/>
        </w:rPr>
        <w:t xml:space="preserve"> </w:t>
      </w:r>
      <w:proofErr w:type="gramStart"/>
      <w:r w:rsidRPr="00571B40">
        <w:rPr>
          <w:rFonts w:eastAsia="Times New Roman"/>
          <w:sz w:val="22"/>
          <w:szCs w:val="22"/>
          <w:lang w:val="en-GB" w:eastAsia="sk-SK"/>
        </w:rPr>
        <w:t>New</w:t>
      </w:r>
      <w:proofErr w:type="gramEnd"/>
      <w:r w:rsidRPr="00571B40">
        <w:rPr>
          <w:rFonts w:eastAsia="Times New Roman"/>
          <w:sz w:val="22"/>
          <w:szCs w:val="22"/>
          <w:lang w:val="en-GB" w:eastAsia="sk-SK"/>
        </w:rPr>
        <w:t xml:space="preserve"> provisions placed significant restrictions on individuals’ rights to run as candidates: only </w:t>
      </w:r>
      <w:r w:rsidRPr="00571B40">
        <w:rPr>
          <w:rFonts w:eastAsia="Times New Roman"/>
          <w:color w:val="000000"/>
          <w:sz w:val="22"/>
          <w:szCs w:val="22"/>
          <w:lang w:val="en" w:eastAsia="sk-SK"/>
        </w:rPr>
        <w:t>those fluent in the Latvian language could do so.</w:t>
      </w:r>
      <w:r w:rsidRPr="00571B40">
        <w:rPr>
          <w:rFonts w:eastAsia="Times New Roman"/>
          <w:color w:val="000000"/>
          <w:sz w:val="22"/>
          <w:szCs w:val="22"/>
          <w:vertAlign w:val="superscript"/>
          <w:lang w:val="en" w:eastAsia="sk-SK"/>
        </w:rPr>
        <w:footnoteReference w:id="42"/>
      </w:r>
      <w:r w:rsidRPr="00571B40">
        <w:rPr>
          <w:rFonts w:eastAsia="Times New Roman"/>
          <w:color w:val="000000"/>
          <w:sz w:val="22"/>
          <w:szCs w:val="22"/>
          <w:lang w:val="en" w:eastAsia="sk-SK"/>
        </w:rPr>
        <w:t xml:space="preserve"> </w:t>
      </w:r>
      <w:r w:rsidRPr="00571B40">
        <w:rPr>
          <w:rFonts w:eastAsia="Times New Roman"/>
          <w:sz w:val="22"/>
          <w:szCs w:val="22"/>
          <w:lang w:val="en-GB" w:eastAsia="sk-SK"/>
        </w:rPr>
        <w:t>This restriction was considered discriminatory by the large Russian minority and was also criticised by the OSCR and ODIHR in 1998 and 1999 as a violation of fundamental rights as enshrined in international human rights conventions (Mikkel &amp; Pettai 2004 p 335-6).</w:t>
      </w:r>
    </w:p>
    <w:p w14:paraId="562D55BF" w14:textId="77777777" w:rsidR="00405DCF" w:rsidRDefault="00405DCF" w:rsidP="00571B40">
      <w:pPr>
        <w:keepNext/>
        <w:spacing w:before="240" w:after="60" w:line="240" w:lineRule="auto"/>
        <w:jc w:val="both"/>
        <w:outlineLvl w:val="1"/>
        <w:rPr>
          <w:rFonts w:eastAsia="Times New Roman"/>
          <w:b/>
          <w:bCs/>
          <w:sz w:val="22"/>
          <w:szCs w:val="22"/>
          <w:lang w:val="en" w:eastAsia="sk-SK"/>
        </w:rPr>
      </w:pPr>
      <w:bookmarkStart w:id="87" w:name="_Toc297204692"/>
      <w:bookmarkStart w:id="88" w:name="_Toc297204753"/>
      <w:bookmarkStart w:id="89" w:name="_Toc297204917"/>
      <w:bookmarkStart w:id="90" w:name="_Toc297206016"/>
      <w:bookmarkStart w:id="91" w:name="_Toc297215896"/>
      <w:bookmarkStart w:id="92" w:name="_Toc297227843"/>
      <w:bookmarkStart w:id="93" w:name="_Toc297228368"/>
    </w:p>
    <w:p w14:paraId="1BCF6255" w14:textId="0A29E29C" w:rsidR="00571B40" w:rsidRDefault="00405DCF" w:rsidP="00571B40">
      <w:pPr>
        <w:keepNext/>
        <w:spacing w:before="240" w:after="60" w:line="240" w:lineRule="auto"/>
        <w:jc w:val="both"/>
        <w:outlineLvl w:val="1"/>
        <w:rPr>
          <w:rFonts w:eastAsia="Times New Roman"/>
          <w:b/>
          <w:bCs/>
          <w:i/>
          <w:sz w:val="22"/>
          <w:szCs w:val="22"/>
          <w:lang w:val="en" w:eastAsia="sk-SK"/>
        </w:rPr>
      </w:pPr>
      <w:r w:rsidRPr="00405DCF">
        <w:rPr>
          <w:rFonts w:eastAsia="Times New Roman"/>
          <w:b/>
          <w:bCs/>
          <w:i/>
          <w:sz w:val="22"/>
          <w:szCs w:val="22"/>
          <w:lang w:val="en" w:eastAsia="sk-SK"/>
        </w:rPr>
        <w:t xml:space="preserve">3.3 </w:t>
      </w:r>
      <w:r w:rsidR="00571B40" w:rsidRPr="00571B40">
        <w:rPr>
          <w:rFonts w:eastAsia="Times New Roman"/>
          <w:b/>
          <w:bCs/>
          <w:i/>
          <w:sz w:val="22"/>
          <w:szCs w:val="22"/>
          <w:lang w:val="en" w:eastAsia="sk-SK"/>
        </w:rPr>
        <w:t>May 2002 Amendments</w:t>
      </w:r>
      <w:bookmarkEnd w:id="87"/>
      <w:bookmarkEnd w:id="88"/>
      <w:bookmarkEnd w:id="89"/>
      <w:bookmarkEnd w:id="90"/>
      <w:bookmarkEnd w:id="91"/>
      <w:bookmarkEnd w:id="92"/>
      <w:bookmarkEnd w:id="93"/>
      <w:r w:rsidR="00571B40" w:rsidRPr="00571B40">
        <w:rPr>
          <w:rFonts w:eastAsia="Times New Roman"/>
          <w:b/>
          <w:bCs/>
          <w:i/>
          <w:sz w:val="22"/>
          <w:szCs w:val="22"/>
          <w:lang w:val="en" w:eastAsia="sk-SK"/>
        </w:rPr>
        <w:t xml:space="preserve"> to the 1995 Law</w:t>
      </w:r>
    </w:p>
    <w:p w14:paraId="03E724A3" w14:textId="77777777" w:rsidR="00405DCF" w:rsidRPr="00571B40" w:rsidRDefault="00405DCF" w:rsidP="00571B40">
      <w:pPr>
        <w:keepNext/>
        <w:spacing w:before="240" w:after="60" w:line="240" w:lineRule="auto"/>
        <w:jc w:val="both"/>
        <w:outlineLvl w:val="1"/>
        <w:rPr>
          <w:rFonts w:eastAsia="Times New Roman"/>
          <w:b/>
          <w:bCs/>
          <w:i/>
          <w:sz w:val="22"/>
          <w:szCs w:val="22"/>
          <w:lang w:val="en" w:eastAsia="sk-SK"/>
        </w:rPr>
      </w:pPr>
    </w:p>
    <w:p w14:paraId="7DFC17FD" w14:textId="77777777" w:rsidR="00571B40" w:rsidRPr="00571B40" w:rsidRDefault="00571B40" w:rsidP="00571B40">
      <w:pPr>
        <w:spacing w:after="0" w:line="240" w:lineRule="auto"/>
        <w:jc w:val="both"/>
        <w:rPr>
          <w:rFonts w:eastAsia="Times New Roman"/>
          <w:color w:val="000000"/>
          <w:sz w:val="22"/>
          <w:szCs w:val="22"/>
          <w:lang w:val="en" w:eastAsia="sk-SK"/>
        </w:rPr>
      </w:pPr>
      <w:r w:rsidRPr="00571B40">
        <w:rPr>
          <w:rFonts w:eastAsia="Times New Roman"/>
          <w:color w:val="000000"/>
          <w:sz w:val="22"/>
          <w:szCs w:val="22"/>
          <w:lang w:val="en" w:eastAsia="sk-SK"/>
        </w:rPr>
        <w:t>In May 2002, this language requirement for candidates was revoked.</w:t>
      </w:r>
      <w:r w:rsidRPr="00571B40">
        <w:rPr>
          <w:rFonts w:eastAsia="Times New Roman"/>
          <w:color w:val="000000"/>
          <w:sz w:val="22"/>
          <w:szCs w:val="22"/>
          <w:vertAlign w:val="superscript"/>
          <w:lang w:val="en" w:eastAsia="sk-SK"/>
        </w:rPr>
        <w:footnoteReference w:id="43"/>
      </w:r>
      <w:r w:rsidRPr="00571B40">
        <w:rPr>
          <w:rFonts w:eastAsia="Times New Roman"/>
          <w:color w:val="000000"/>
          <w:sz w:val="22"/>
          <w:szCs w:val="22"/>
          <w:lang w:val="en" w:eastAsia="sk-SK"/>
        </w:rPr>
        <w:t xml:space="preserve"> At the same time, a new provision was introduced requiring candidates to declare their level of proficiency in the Latvian language to the electoral commission when submitting their lists.</w:t>
      </w:r>
      <w:r w:rsidRPr="00571B40">
        <w:rPr>
          <w:rFonts w:eastAsia="Times New Roman"/>
          <w:color w:val="000000"/>
          <w:sz w:val="22"/>
          <w:szCs w:val="22"/>
          <w:vertAlign w:val="superscript"/>
          <w:lang w:val="en" w:eastAsia="sk-SK"/>
        </w:rPr>
        <w:footnoteReference w:id="44"/>
      </w:r>
      <w:r w:rsidRPr="00571B40">
        <w:rPr>
          <w:rFonts w:eastAsia="Times New Roman"/>
          <w:color w:val="000000"/>
          <w:sz w:val="22"/>
          <w:szCs w:val="22"/>
          <w:lang w:val="en" w:eastAsia="sk-SK"/>
        </w:rPr>
        <w:t xml:space="preserve"> This information about the candidates, although not included on the ballot paper,</w:t>
      </w:r>
      <w:r w:rsidRPr="00571B40">
        <w:rPr>
          <w:rFonts w:eastAsia="Times New Roman"/>
          <w:color w:val="000000"/>
          <w:sz w:val="22"/>
          <w:szCs w:val="22"/>
          <w:vertAlign w:val="superscript"/>
          <w:lang w:val="en" w:eastAsia="sk-SK"/>
        </w:rPr>
        <w:footnoteReference w:id="45"/>
      </w:r>
      <w:r w:rsidRPr="00571B40">
        <w:rPr>
          <w:rFonts w:eastAsia="Times New Roman"/>
          <w:color w:val="000000"/>
          <w:sz w:val="22"/>
          <w:szCs w:val="22"/>
          <w:lang w:val="en" w:eastAsia="sk-SK"/>
        </w:rPr>
        <w:t xml:space="preserve"> is published in the newspaper </w:t>
      </w:r>
      <w:r w:rsidRPr="00571B40">
        <w:rPr>
          <w:rFonts w:eastAsia="Times New Roman"/>
          <w:sz w:val="22"/>
          <w:szCs w:val="22"/>
        </w:rPr>
        <w:t>“</w:t>
      </w:r>
      <w:r w:rsidRPr="00571B40">
        <w:rPr>
          <w:rFonts w:eastAsia="Times New Roman"/>
          <w:i/>
          <w:iCs/>
          <w:sz w:val="22"/>
          <w:szCs w:val="22"/>
        </w:rPr>
        <w:t>Latvijas V</w:t>
      </w:r>
      <w:r w:rsidRPr="00571B40">
        <w:rPr>
          <w:rFonts w:eastAsia="Times New Roman"/>
          <w:sz w:val="22"/>
          <w:szCs w:val="22"/>
        </w:rPr>
        <w:t>e</w:t>
      </w:r>
      <w:r w:rsidRPr="00571B40">
        <w:rPr>
          <w:rFonts w:eastAsia="Times New Roman"/>
          <w:i/>
          <w:iCs/>
          <w:sz w:val="22"/>
          <w:szCs w:val="22"/>
        </w:rPr>
        <w:t>stnesis.</w:t>
      </w:r>
      <w:r w:rsidRPr="00571B40">
        <w:rPr>
          <w:rFonts w:eastAsia="Times New Roman"/>
          <w:sz w:val="22"/>
          <w:szCs w:val="22"/>
        </w:rPr>
        <w:t>”</w:t>
      </w:r>
      <w:r w:rsidRPr="00571B40">
        <w:rPr>
          <w:rFonts w:eastAsia="Times New Roman"/>
          <w:sz w:val="22"/>
          <w:szCs w:val="22"/>
          <w:vertAlign w:val="superscript"/>
        </w:rPr>
        <w:footnoteReference w:id="46"/>
      </w:r>
    </w:p>
    <w:p w14:paraId="4B313F31" w14:textId="77777777" w:rsidR="00571B40" w:rsidRPr="00571B40" w:rsidRDefault="00571B40" w:rsidP="00571B40">
      <w:pPr>
        <w:spacing w:after="0" w:line="240" w:lineRule="auto"/>
        <w:jc w:val="both"/>
        <w:rPr>
          <w:rFonts w:eastAsia="Times New Roman"/>
          <w:color w:val="000000"/>
          <w:sz w:val="22"/>
          <w:szCs w:val="22"/>
          <w:lang w:val="en" w:eastAsia="sk-SK"/>
        </w:rPr>
      </w:pPr>
    </w:p>
    <w:p w14:paraId="3B52256D" w14:textId="595E6511" w:rsidR="00571B40" w:rsidRDefault="00405DCF" w:rsidP="00571B40">
      <w:pPr>
        <w:keepNext/>
        <w:spacing w:before="240" w:after="60" w:line="240" w:lineRule="auto"/>
        <w:jc w:val="both"/>
        <w:outlineLvl w:val="1"/>
        <w:rPr>
          <w:rFonts w:eastAsia="Times New Roman"/>
          <w:b/>
          <w:bCs/>
          <w:i/>
          <w:sz w:val="22"/>
          <w:szCs w:val="22"/>
          <w:lang w:val="en-GB" w:eastAsia="sk-SK"/>
        </w:rPr>
      </w:pPr>
      <w:bookmarkStart w:id="94" w:name="_Toc297227844"/>
      <w:bookmarkStart w:id="95" w:name="_Toc297228369"/>
      <w:r w:rsidRPr="00405DCF">
        <w:rPr>
          <w:rFonts w:eastAsia="Times New Roman"/>
          <w:b/>
          <w:bCs/>
          <w:i/>
          <w:sz w:val="22"/>
          <w:szCs w:val="22"/>
          <w:lang w:val="en-GB" w:eastAsia="sk-SK"/>
        </w:rPr>
        <w:t xml:space="preserve">3.4 </w:t>
      </w:r>
      <w:r w:rsidR="00571B40" w:rsidRPr="00571B40">
        <w:rPr>
          <w:rFonts w:eastAsia="Times New Roman"/>
          <w:b/>
          <w:bCs/>
          <w:i/>
          <w:sz w:val="22"/>
          <w:szCs w:val="22"/>
          <w:lang w:val="en-GB" w:eastAsia="sk-SK"/>
        </w:rPr>
        <w:t>The Constitutional Court judgment of 2003 regarding the eligibility to vote</w:t>
      </w:r>
      <w:bookmarkEnd w:id="94"/>
      <w:bookmarkEnd w:id="95"/>
    </w:p>
    <w:p w14:paraId="20CA4D22" w14:textId="77777777" w:rsidR="00405DCF" w:rsidRPr="00571B40" w:rsidRDefault="00405DCF" w:rsidP="00571B40">
      <w:pPr>
        <w:keepNext/>
        <w:spacing w:before="240" w:after="60" w:line="240" w:lineRule="auto"/>
        <w:jc w:val="both"/>
        <w:outlineLvl w:val="1"/>
        <w:rPr>
          <w:rFonts w:eastAsia="Times New Roman"/>
          <w:b/>
          <w:bCs/>
          <w:i/>
          <w:sz w:val="22"/>
          <w:szCs w:val="22"/>
          <w:lang w:val="en-GB" w:eastAsia="sk-SK"/>
        </w:rPr>
      </w:pPr>
    </w:p>
    <w:p w14:paraId="59728C48" w14:textId="77777777" w:rsidR="00571B40" w:rsidRPr="00571B40" w:rsidRDefault="00571B40" w:rsidP="00571B40">
      <w:pPr>
        <w:spacing w:after="0" w:line="240" w:lineRule="auto"/>
        <w:jc w:val="both"/>
        <w:rPr>
          <w:rFonts w:eastAsia="Times New Roman"/>
          <w:sz w:val="22"/>
          <w:szCs w:val="22"/>
          <w:lang w:val="en-GB" w:eastAsia="sk-SK"/>
        </w:rPr>
      </w:pPr>
      <w:r w:rsidRPr="00571B40">
        <w:rPr>
          <w:rFonts w:eastAsia="Times New Roman"/>
          <w:sz w:val="22"/>
          <w:szCs w:val="22"/>
          <w:lang w:val="en-GB" w:eastAsia="sk-SK"/>
        </w:rPr>
        <w:t>In 2003, the Constitutional Court issued a judgment, which stated that denying detainees in police custody the right to vote, as articulated in the 1995 law</w:t>
      </w:r>
      <w:r w:rsidRPr="00571B40">
        <w:rPr>
          <w:rFonts w:eastAsia="Times New Roman"/>
          <w:sz w:val="22"/>
          <w:szCs w:val="22"/>
          <w:vertAlign w:val="superscript"/>
          <w:lang w:val="en-GB" w:eastAsia="sk-SK"/>
        </w:rPr>
        <w:footnoteReference w:id="47"/>
      </w:r>
      <w:r w:rsidRPr="00571B40">
        <w:rPr>
          <w:rFonts w:eastAsia="Times New Roman"/>
          <w:sz w:val="22"/>
          <w:szCs w:val="22"/>
          <w:lang w:val="en-GB" w:eastAsia="sk-SK"/>
        </w:rPr>
        <w:t>, did not comply with Articles 6 and 8 of the Constitution.</w:t>
      </w:r>
      <w:r w:rsidRPr="00571B40">
        <w:rPr>
          <w:rFonts w:eastAsia="Times New Roman"/>
          <w:sz w:val="22"/>
          <w:szCs w:val="22"/>
          <w:vertAlign w:val="superscript"/>
          <w:lang w:val="en-GB" w:eastAsia="sk-SK"/>
        </w:rPr>
        <w:footnoteReference w:id="48"/>
      </w:r>
      <w:r w:rsidRPr="00571B40">
        <w:rPr>
          <w:rFonts w:eastAsia="Times New Roman"/>
          <w:sz w:val="22"/>
          <w:szCs w:val="22"/>
          <w:lang w:val="en-GB" w:eastAsia="sk-SK"/>
        </w:rPr>
        <w:t xml:space="preserve"> This provision in the law was immediately revoked, without any action by the legislature, as, according to the Constitution, the Constitutional Court has the power to declare laws or sections thereof invalid.</w:t>
      </w:r>
      <w:r w:rsidRPr="00571B40">
        <w:rPr>
          <w:rFonts w:eastAsia="Times New Roman"/>
          <w:sz w:val="22"/>
          <w:szCs w:val="22"/>
          <w:vertAlign w:val="superscript"/>
          <w:lang w:val="en-GB" w:eastAsia="sk-SK"/>
        </w:rPr>
        <w:footnoteReference w:id="49"/>
      </w:r>
    </w:p>
    <w:p w14:paraId="1A7C7D27" w14:textId="77777777" w:rsidR="00571B40" w:rsidRPr="00571B40" w:rsidRDefault="00571B40" w:rsidP="00571B40">
      <w:pPr>
        <w:spacing w:after="0" w:line="240" w:lineRule="auto"/>
        <w:jc w:val="both"/>
        <w:rPr>
          <w:rFonts w:eastAsia="Times New Roman"/>
          <w:i/>
          <w:iCs/>
          <w:sz w:val="22"/>
          <w:szCs w:val="22"/>
          <w:lang w:val="en" w:eastAsia="sk-SK"/>
        </w:rPr>
      </w:pPr>
    </w:p>
    <w:p w14:paraId="34D9F039" w14:textId="6EC543E3" w:rsidR="00571B40" w:rsidRPr="00405DCF" w:rsidRDefault="00405DCF" w:rsidP="00571B40">
      <w:pPr>
        <w:keepNext/>
        <w:spacing w:before="240" w:after="60" w:line="240" w:lineRule="auto"/>
        <w:jc w:val="both"/>
        <w:outlineLvl w:val="1"/>
        <w:rPr>
          <w:rFonts w:eastAsia="Times New Roman"/>
          <w:b/>
          <w:bCs/>
          <w:i/>
          <w:sz w:val="22"/>
          <w:szCs w:val="22"/>
          <w:lang w:val="en" w:eastAsia="sk-SK"/>
        </w:rPr>
      </w:pPr>
      <w:bookmarkStart w:id="96" w:name="_Toc297204344"/>
      <w:bookmarkStart w:id="97" w:name="_Toc297204694"/>
      <w:bookmarkStart w:id="98" w:name="_Toc297204755"/>
      <w:bookmarkStart w:id="99" w:name="_Toc297204919"/>
      <w:bookmarkStart w:id="100" w:name="_Toc297206018"/>
      <w:bookmarkStart w:id="101" w:name="_Toc297215898"/>
      <w:bookmarkStart w:id="102" w:name="_Toc297227845"/>
      <w:bookmarkStart w:id="103" w:name="_Toc297228370"/>
      <w:r w:rsidRPr="00405DCF">
        <w:rPr>
          <w:rFonts w:eastAsia="Times New Roman"/>
          <w:b/>
          <w:bCs/>
          <w:i/>
          <w:sz w:val="22"/>
          <w:szCs w:val="22"/>
          <w:lang w:val="en" w:eastAsia="sk-SK"/>
        </w:rPr>
        <w:lastRenderedPageBreak/>
        <w:t>3.5</w:t>
      </w:r>
      <w:r w:rsidR="00571B40" w:rsidRPr="00571B40">
        <w:rPr>
          <w:rFonts w:eastAsia="Times New Roman"/>
          <w:b/>
          <w:bCs/>
          <w:i/>
          <w:sz w:val="22"/>
          <w:szCs w:val="22"/>
          <w:lang w:val="en" w:eastAsia="sk-SK"/>
        </w:rPr>
        <w:t xml:space="preserve"> April 2006 Amendments</w:t>
      </w:r>
      <w:bookmarkEnd w:id="96"/>
      <w:bookmarkEnd w:id="97"/>
      <w:bookmarkEnd w:id="98"/>
      <w:bookmarkEnd w:id="99"/>
      <w:bookmarkEnd w:id="100"/>
      <w:bookmarkEnd w:id="101"/>
      <w:bookmarkEnd w:id="102"/>
      <w:bookmarkEnd w:id="103"/>
      <w:r w:rsidR="00571B40" w:rsidRPr="00571B40">
        <w:rPr>
          <w:rFonts w:eastAsia="Times New Roman"/>
          <w:b/>
          <w:bCs/>
          <w:i/>
          <w:sz w:val="22"/>
          <w:szCs w:val="22"/>
          <w:lang w:val="en" w:eastAsia="sk-SK"/>
        </w:rPr>
        <w:t xml:space="preserve"> to the 1995 Law</w:t>
      </w:r>
    </w:p>
    <w:p w14:paraId="0BFDD9F6" w14:textId="77777777" w:rsidR="00405DCF" w:rsidRPr="00571B40" w:rsidRDefault="00405DCF" w:rsidP="00571B40">
      <w:pPr>
        <w:keepNext/>
        <w:spacing w:before="240" w:after="60" w:line="240" w:lineRule="auto"/>
        <w:jc w:val="both"/>
        <w:outlineLvl w:val="1"/>
        <w:rPr>
          <w:rFonts w:eastAsia="Times New Roman"/>
          <w:b/>
          <w:bCs/>
          <w:sz w:val="22"/>
          <w:szCs w:val="22"/>
          <w:lang w:val="en" w:eastAsia="sk-SK"/>
        </w:rPr>
      </w:pPr>
    </w:p>
    <w:p w14:paraId="27E1973F" w14:textId="77777777" w:rsidR="00571B40" w:rsidRPr="00571B40" w:rsidRDefault="00571B40" w:rsidP="00571B40">
      <w:pPr>
        <w:spacing w:after="0" w:line="240" w:lineRule="auto"/>
        <w:jc w:val="both"/>
        <w:rPr>
          <w:rFonts w:eastAsia="Times New Roman"/>
          <w:color w:val="000000"/>
          <w:sz w:val="22"/>
          <w:szCs w:val="22"/>
          <w:lang w:val="en" w:eastAsia="sk-SK"/>
        </w:rPr>
      </w:pPr>
      <w:r w:rsidRPr="00571B40">
        <w:rPr>
          <w:rFonts w:eastAsia="Times New Roman"/>
          <w:color w:val="000000"/>
          <w:sz w:val="22"/>
          <w:szCs w:val="22"/>
          <w:lang w:val="en" w:eastAsia="sk-SK"/>
        </w:rPr>
        <w:t>The restriction that the number of candidates proposed by parties on their respective lists could not exceed the number of mandates to be allocated to that district, was amended so that parties could list up to a further three candidates in excess of the number of contested seats.</w:t>
      </w:r>
      <w:r w:rsidRPr="00571B40">
        <w:rPr>
          <w:rFonts w:eastAsia="Times New Roman"/>
          <w:color w:val="000000"/>
          <w:sz w:val="22"/>
          <w:szCs w:val="22"/>
          <w:vertAlign w:val="superscript"/>
          <w:lang w:val="en" w:eastAsia="sk-SK"/>
        </w:rPr>
        <w:footnoteReference w:id="50"/>
      </w:r>
      <w:r w:rsidRPr="00571B40">
        <w:rPr>
          <w:rFonts w:eastAsia="Times New Roman"/>
          <w:color w:val="000000"/>
          <w:sz w:val="22"/>
          <w:szCs w:val="22"/>
          <w:lang w:val="en" w:eastAsia="sk-SK"/>
        </w:rPr>
        <w:t xml:space="preserve"> Further provisions were included, specifying the procedure for dealing with cases of malpractice by parties during the campaign, and how a seat would be reallocated in the instance that a court finds a candidate guilty of malpractice.</w:t>
      </w:r>
      <w:r w:rsidRPr="00571B40">
        <w:rPr>
          <w:rFonts w:eastAsia="Times New Roman"/>
          <w:color w:val="000000"/>
          <w:sz w:val="22"/>
          <w:szCs w:val="22"/>
          <w:vertAlign w:val="superscript"/>
          <w:lang w:val="en" w:eastAsia="sk-SK"/>
        </w:rPr>
        <w:footnoteReference w:id="51"/>
      </w:r>
      <w:r w:rsidRPr="00571B40">
        <w:rPr>
          <w:rFonts w:eastAsia="Times New Roman"/>
          <w:color w:val="000000"/>
          <w:sz w:val="22"/>
          <w:szCs w:val="22"/>
          <w:lang w:val="en" w:eastAsia="sk-SK"/>
        </w:rPr>
        <w:t xml:space="preserve"> The number of days within which a candidate could appeal the Central Electoral Commission’s final decision was reduced from a week to three days.</w:t>
      </w:r>
      <w:r w:rsidRPr="00571B40">
        <w:rPr>
          <w:rFonts w:eastAsia="Times New Roman"/>
          <w:color w:val="000000"/>
          <w:sz w:val="22"/>
          <w:szCs w:val="22"/>
          <w:vertAlign w:val="superscript"/>
          <w:lang w:val="en" w:eastAsia="sk-SK"/>
        </w:rPr>
        <w:footnoteReference w:id="52"/>
      </w:r>
      <w:r w:rsidRPr="00571B40">
        <w:rPr>
          <w:rFonts w:eastAsia="Times New Roman"/>
          <w:color w:val="000000"/>
          <w:sz w:val="22"/>
          <w:szCs w:val="22"/>
          <w:lang w:val="en" w:eastAsia="sk-SK"/>
        </w:rPr>
        <w:t xml:space="preserve"> </w:t>
      </w:r>
    </w:p>
    <w:p w14:paraId="14740BE1" w14:textId="77777777" w:rsidR="00571B40" w:rsidRPr="00571B40" w:rsidRDefault="00571B40" w:rsidP="00571B40">
      <w:pPr>
        <w:spacing w:after="0" w:line="240" w:lineRule="auto"/>
        <w:jc w:val="both"/>
        <w:rPr>
          <w:rFonts w:eastAsia="Times New Roman"/>
          <w:color w:val="000000"/>
          <w:sz w:val="22"/>
          <w:szCs w:val="22"/>
          <w:lang w:val="en" w:eastAsia="sk-SK"/>
        </w:rPr>
      </w:pPr>
    </w:p>
    <w:p w14:paraId="42F86EDC" w14:textId="366089D5" w:rsidR="00571B40" w:rsidRDefault="00405DCF" w:rsidP="00571B40">
      <w:pPr>
        <w:keepNext/>
        <w:spacing w:before="240" w:after="60" w:line="240" w:lineRule="auto"/>
        <w:jc w:val="both"/>
        <w:outlineLvl w:val="1"/>
        <w:rPr>
          <w:rFonts w:eastAsia="Times New Roman"/>
          <w:b/>
          <w:bCs/>
          <w:i/>
          <w:sz w:val="22"/>
          <w:szCs w:val="22"/>
          <w:lang w:val="en-GB" w:eastAsia="sk-SK"/>
        </w:rPr>
      </w:pPr>
      <w:bookmarkStart w:id="104" w:name="_Toc297204345"/>
      <w:bookmarkStart w:id="105" w:name="_Toc297204695"/>
      <w:bookmarkStart w:id="106" w:name="_Toc297204756"/>
      <w:bookmarkStart w:id="107" w:name="_Toc297204920"/>
      <w:bookmarkStart w:id="108" w:name="_Toc297206019"/>
      <w:bookmarkStart w:id="109" w:name="_Toc297215899"/>
      <w:bookmarkStart w:id="110" w:name="_Toc297227846"/>
      <w:bookmarkStart w:id="111" w:name="_Toc297228371"/>
      <w:r w:rsidRPr="00405DCF">
        <w:rPr>
          <w:rFonts w:eastAsia="Times New Roman"/>
          <w:b/>
          <w:bCs/>
          <w:i/>
          <w:sz w:val="22"/>
          <w:szCs w:val="22"/>
          <w:lang w:val="en-GB" w:eastAsia="sk-SK"/>
        </w:rPr>
        <w:t>3.6</w:t>
      </w:r>
      <w:r w:rsidR="00571B40" w:rsidRPr="00571B40">
        <w:rPr>
          <w:rFonts w:eastAsia="Times New Roman"/>
          <w:b/>
          <w:bCs/>
          <w:i/>
          <w:sz w:val="22"/>
          <w:szCs w:val="22"/>
          <w:lang w:val="en-GB" w:eastAsia="sk-SK"/>
        </w:rPr>
        <w:t xml:space="preserve"> </w:t>
      </w:r>
      <w:bookmarkEnd w:id="104"/>
      <w:bookmarkEnd w:id="105"/>
      <w:bookmarkEnd w:id="106"/>
      <w:bookmarkEnd w:id="107"/>
      <w:bookmarkEnd w:id="108"/>
      <w:bookmarkEnd w:id="109"/>
      <w:r w:rsidR="00571B40" w:rsidRPr="00571B40">
        <w:rPr>
          <w:rFonts w:eastAsia="Times New Roman"/>
          <w:b/>
          <w:bCs/>
          <w:i/>
          <w:sz w:val="22"/>
          <w:szCs w:val="22"/>
          <w:lang w:val="en-GB" w:eastAsia="sk-SK"/>
        </w:rPr>
        <w:t>The Constitutional Court judgment of 2006 regarding restrictions on candidates</w:t>
      </w:r>
      <w:bookmarkEnd w:id="110"/>
      <w:bookmarkEnd w:id="111"/>
    </w:p>
    <w:p w14:paraId="309490E3" w14:textId="77777777" w:rsidR="00405DCF" w:rsidRPr="00571B40" w:rsidRDefault="00405DCF" w:rsidP="00571B40">
      <w:pPr>
        <w:keepNext/>
        <w:spacing w:before="240" w:after="60" w:line="240" w:lineRule="auto"/>
        <w:jc w:val="both"/>
        <w:outlineLvl w:val="1"/>
        <w:rPr>
          <w:rFonts w:eastAsia="Times New Roman"/>
          <w:b/>
          <w:bCs/>
          <w:i/>
          <w:sz w:val="22"/>
          <w:szCs w:val="22"/>
          <w:lang w:val="en-GB" w:eastAsia="sk-SK"/>
        </w:rPr>
      </w:pPr>
    </w:p>
    <w:p w14:paraId="4FC1C9A2" w14:textId="77777777" w:rsidR="00571B40" w:rsidRPr="00571B40" w:rsidRDefault="00571B40" w:rsidP="00571B40">
      <w:pPr>
        <w:spacing w:after="0" w:line="240" w:lineRule="auto"/>
        <w:jc w:val="both"/>
        <w:rPr>
          <w:rFonts w:eastAsia="Times New Roman"/>
          <w:sz w:val="22"/>
          <w:szCs w:val="22"/>
          <w:lang w:val="en-GB" w:eastAsia="sk-SK"/>
        </w:rPr>
      </w:pPr>
      <w:r w:rsidRPr="00571B40">
        <w:rPr>
          <w:rFonts w:eastAsia="Times New Roman"/>
          <w:sz w:val="22"/>
          <w:szCs w:val="22"/>
          <w:lang w:val="en-GB" w:eastAsia="sk-SK"/>
        </w:rPr>
        <w:t xml:space="preserve">In 2005, 20 deputies and the leader of the Social Democrat Party, </w:t>
      </w:r>
      <w:r w:rsidRPr="00571B40">
        <w:rPr>
          <w:rFonts w:eastAsia="Times New Roman"/>
          <w:sz w:val="22"/>
          <w:szCs w:val="22"/>
          <w:lang w:eastAsia="sk-SK"/>
        </w:rPr>
        <w:t>Juris Bojārs,</w:t>
      </w:r>
      <w:r w:rsidRPr="00571B40">
        <w:rPr>
          <w:rFonts w:eastAsia="Times New Roman"/>
          <w:sz w:val="22"/>
          <w:szCs w:val="22"/>
          <w:lang w:val="en-GB" w:eastAsia="sk-SK"/>
        </w:rPr>
        <w:t xml:space="preserve"> filed a Constitutional complaint regarding the provision in the 1995 law:</w:t>
      </w:r>
    </w:p>
    <w:p w14:paraId="58613247" w14:textId="77777777" w:rsidR="00571B40" w:rsidRPr="00571B40" w:rsidRDefault="00571B40" w:rsidP="00571B40">
      <w:pPr>
        <w:spacing w:after="0" w:line="240" w:lineRule="auto"/>
        <w:jc w:val="both"/>
        <w:rPr>
          <w:rFonts w:eastAsia="Times New Roman"/>
          <w:sz w:val="22"/>
          <w:szCs w:val="22"/>
          <w:lang w:eastAsia="sk-SK"/>
        </w:rPr>
      </w:pPr>
      <w:r w:rsidRPr="00571B40">
        <w:rPr>
          <w:rFonts w:eastAsia="Times New Roman"/>
          <w:sz w:val="22"/>
          <w:szCs w:val="22"/>
          <w:lang w:eastAsia="sk-SK"/>
        </w:rPr>
        <w:t>Article 5: “Persons are not to be included in the candidate lists and are not eligible to the Saeima if they…</w:t>
      </w:r>
    </w:p>
    <w:p w14:paraId="23D2B33F" w14:textId="77777777" w:rsidR="00571B40" w:rsidRPr="00571B40" w:rsidRDefault="00571B40" w:rsidP="00571B40">
      <w:pPr>
        <w:spacing w:after="0" w:line="240" w:lineRule="auto"/>
        <w:ind w:left="720"/>
        <w:jc w:val="both"/>
        <w:rPr>
          <w:rFonts w:eastAsia="Times New Roman"/>
          <w:sz w:val="22"/>
          <w:szCs w:val="22"/>
          <w:lang w:eastAsia="sk-SK"/>
        </w:rPr>
      </w:pPr>
      <w:r w:rsidRPr="00571B40">
        <w:rPr>
          <w:rFonts w:eastAsia="Times New Roman"/>
          <w:sz w:val="22"/>
          <w:szCs w:val="22"/>
          <w:lang w:eastAsia="sk-SK"/>
        </w:rPr>
        <w:t xml:space="preserve">5) </w:t>
      </w:r>
      <w:proofErr w:type="gramStart"/>
      <w:r w:rsidRPr="00571B40">
        <w:rPr>
          <w:rFonts w:eastAsia="Times New Roman"/>
          <w:sz w:val="22"/>
          <w:szCs w:val="22"/>
          <w:lang w:eastAsia="sk-SK"/>
        </w:rPr>
        <w:t>belong</w:t>
      </w:r>
      <w:proofErr w:type="gramEnd"/>
      <w:r w:rsidRPr="00571B40">
        <w:rPr>
          <w:rFonts w:eastAsia="Times New Roman"/>
          <w:sz w:val="22"/>
          <w:szCs w:val="22"/>
          <w:lang w:eastAsia="sk-SK"/>
        </w:rPr>
        <w:t xml:space="preserve"> or have belonged to the regular staff of the USSR, Latvian SSR or foreign state security, intelligence or counterintelligence services;</w:t>
      </w:r>
    </w:p>
    <w:p w14:paraId="65334F7A" w14:textId="77777777" w:rsidR="00571B40" w:rsidRPr="00571B40" w:rsidRDefault="00571B40" w:rsidP="00571B40">
      <w:pPr>
        <w:spacing w:after="0" w:line="240" w:lineRule="auto"/>
        <w:ind w:left="720"/>
        <w:jc w:val="both"/>
        <w:rPr>
          <w:rFonts w:eastAsia="Times New Roman"/>
          <w:sz w:val="22"/>
          <w:szCs w:val="22"/>
          <w:lang w:eastAsia="sk-SK"/>
        </w:rPr>
      </w:pPr>
    </w:p>
    <w:p w14:paraId="7C7CE21E" w14:textId="77777777" w:rsidR="00571B40" w:rsidRPr="00571B40" w:rsidRDefault="00571B40" w:rsidP="00571B40">
      <w:pPr>
        <w:spacing w:after="0" w:line="240" w:lineRule="auto"/>
        <w:ind w:left="720"/>
        <w:jc w:val="both"/>
        <w:rPr>
          <w:rFonts w:eastAsia="Times New Roman"/>
          <w:sz w:val="22"/>
          <w:szCs w:val="22"/>
          <w:lang w:eastAsia="sk-SK"/>
        </w:rPr>
      </w:pPr>
      <w:r w:rsidRPr="00571B40">
        <w:rPr>
          <w:rFonts w:eastAsia="Times New Roman"/>
          <w:sz w:val="22"/>
          <w:szCs w:val="22"/>
          <w:lang w:eastAsia="sk-SK"/>
        </w:rPr>
        <w:t xml:space="preserve">6) </w:t>
      </w:r>
      <w:proofErr w:type="gramStart"/>
      <w:r w:rsidRPr="00571B40">
        <w:rPr>
          <w:rFonts w:eastAsia="Times New Roman"/>
          <w:sz w:val="22"/>
          <w:szCs w:val="22"/>
          <w:lang w:eastAsia="sk-SK"/>
        </w:rPr>
        <w:t>after</w:t>
      </w:r>
      <w:proofErr w:type="gramEnd"/>
      <w:r w:rsidRPr="00571B40">
        <w:rPr>
          <w:rFonts w:eastAsia="Times New Roman"/>
          <w:sz w:val="22"/>
          <w:szCs w:val="22"/>
          <w:lang w:eastAsia="sk-SK"/>
        </w:rPr>
        <w:t xml:space="preserve"> January 13, 1991 have been active in CPSU (CP of Latvia), Working People’s International Front of the Latvian SSR, the United Board of Working Bodies; Organization of War and Labour Veterans; All-Latvia Salvation Committee or its regional committees.”</w:t>
      </w:r>
    </w:p>
    <w:p w14:paraId="5DFBA131" w14:textId="77777777" w:rsidR="00571B40" w:rsidRPr="00571B40" w:rsidRDefault="00571B40" w:rsidP="00571B40">
      <w:pPr>
        <w:spacing w:after="0" w:line="240" w:lineRule="auto"/>
        <w:jc w:val="both"/>
        <w:rPr>
          <w:rFonts w:eastAsia="Times New Roman"/>
          <w:sz w:val="22"/>
          <w:szCs w:val="22"/>
          <w:lang w:val="en-GB" w:eastAsia="sk-SK"/>
        </w:rPr>
      </w:pPr>
    </w:p>
    <w:p w14:paraId="1963BE3A" w14:textId="77777777" w:rsidR="00571B40" w:rsidRPr="00571B40" w:rsidRDefault="00571B40" w:rsidP="00571B40">
      <w:pPr>
        <w:suppressAutoHyphens/>
        <w:spacing w:after="0" w:line="240" w:lineRule="auto"/>
        <w:jc w:val="both"/>
        <w:rPr>
          <w:rFonts w:eastAsia="Times New Roman"/>
          <w:sz w:val="22"/>
          <w:szCs w:val="22"/>
          <w:lang w:val="en-GB" w:eastAsia="fr-FR"/>
        </w:rPr>
      </w:pPr>
      <w:r w:rsidRPr="00571B40">
        <w:rPr>
          <w:rFonts w:eastAsia="Times New Roman"/>
          <w:sz w:val="22"/>
          <w:szCs w:val="22"/>
          <w:lang w:eastAsia="fr-FR"/>
        </w:rPr>
        <w:t>In June 2006, the Constitutional Court decided that these provisions should no longer apply to Juris Bojārs, although they should remain in force in the law, for reasons of security. The Constitutional Court referred to the European Court case of Ždanoka v Latvia</w:t>
      </w:r>
      <w:r w:rsidRPr="00571B40">
        <w:rPr>
          <w:rFonts w:eastAsia="Times New Roman"/>
          <w:sz w:val="22"/>
          <w:szCs w:val="22"/>
          <w:vertAlign w:val="superscript"/>
          <w:lang w:val="fr-FR" w:eastAsia="fr-FR"/>
        </w:rPr>
        <w:footnoteReference w:id="53"/>
      </w:r>
      <w:r w:rsidRPr="00571B40">
        <w:rPr>
          <w:rFonts w:eastAsia="Times New Roman"/>
          <w:sz w:val="22"/>
          <w:szCs w:val="22"/>
          <w:lang w:eastAsia="fr-FR"/>
        </w:rPr>
        <w:t xml:space="preserve"> in support of their decision. The applicant, Ms Ždanoka,</w:t>
      </w:r>
      <w:r w:rsidRPr="00571B40">
        <w:rPr>
          <w:rFonts w:eastAsia="Times New Roman"/>
          <w:sz w:val="22"/>
          <w:szCs w:val="22"/>
          <w:lang w:val="en-GB" w:eastAsia="fr-FR"/>
        </w:rPr>
        <w:t xml:space="preserve"> had complained that her disqualification from standing for election to the Saeima, on the ground that she had actively participated in the CPL after 13 January 1991, constituted a violation of Article 3 of Protocol No. 1, which provides:</w:t>
      </w:r>
    </w:p>
    <w:p w14:paraId="2285805A" w14:textId="77777777" w:rsidR="00571B40" w:rsidRPr="00571B40" w:rsidRDefault="00571B40" w:rsidP="00571B40">
      <w:pPr>
        <w:suppressAutoHyphens/>
        <w:spacing w:before="120" w:after="120" w:line="240" w:lineRule="auto"/>
        <w:ind w:left="425"/>
        <w:jc w:val="both"/>
        <w:rPr>
          <w:rFonts w:eastAsia="Times New Roman"/>
          <w:sz w:val="22"/>
          <w:szCs w:val="22"/>
          <w:lang w:val="en-GB" w:eastAsia="fr-FR"/>
        </w:rPr>
      </w:pPr>
      <w:r w:rsidRPr="00571B40">
        <w:rPr>
          <w:rFonts w:eastAsia="Times New Roman"/>
          <w:sz w:val="22"/>
          <w:szCs w:val="22"/>
          <w:lang w:val="en-GB" w:eastAsia="fr-FR"/>
        </w:rPr>
        <w:t>The High Contracting Parties undertake to hold free elections at reasonable intervals by secret ballot, under conditions which will ensure the free expression of the opinion of the people in the choice of the legislature.</w:t>
      </w:r>
      <w:r w:rsidRPr="00571B40">
        <w:rPr>
          <w:rFonts w:eastAsia="Times New Roman"/>
          <w:sz w:val="22"/>
          <w:szCs w:val="22"/>
          <w:vertAlign w:val="superscript"/>
          <w:lang w:val="en-GB" w:eastAsia="fr-FR"/>
        </w:rPr>
        <w:footnoteReference w:id="54"/>
      </w:r>
    </w:p>
    <w:p w14:paraId="7699C8E5" w14:textId="77777777" w:rsidR="00571B40" w:rsidRPr="00571B40" w:rsidRDefault="00571B40" w:rsidP="00571B40">
      <w:pPr>
        <w:spacing w:after="0" w:line="240" w:lineRule="auto"/>
        <w:jc w:val="both"/>
        <w:rPr>
          <w:rFonts w:eastAsia="Times New Roman"/>
          <w:sz w:val="22"/>
          <w:szCs w:val="22"/>
          <w:lang w:val="en-GB" w:eastAsia="sk-SK"/>
        </w:rPr>
      </w:pPr>
      <w:r w:rsidRPr="00571B40">
        <w:rPr>
          <w:rFonts w:eastAsia="Times New Roman"/>
          <w:sz w:val="22"/>
          <w:szCs w:val="22"/>
          <w:lang w:val="en-GB" w:eastAsia="sk-SK"/>
        </w:rPr>
        <w:t>The European Court decided, in March 2006, albeit with some dissent, that the Latvian Government should be allowed to retain these restrictions on candidates in the 1995 law and that they had been reasonably applied in Ms Ždanoka’s case because of her active participation as a member of the CPL, and her stance towards the events of 1991.</w:t>
      </w:r>
      <w:r w:rsidRPr="00571B40">
        <w:rPr>
          <w:rFonts w:eastAsia="Times New Roman"/>
          <w:sz w:val="22"/>
          <w:szCs w:val="22"/>
          <w:vertAlign w:val="superscript"/>
          <w:lang w:val="en-GB" w:eastAsia="sk-SK"/>
        </w:rPr>
        <w:footnoteReference w:id="55"/>
      </w:r>
    </w:p>
    <w:p w14:paraId="5F28DB57" w14:textId="7E208E41" w:rsidR="00571B40" w:rsidRDefault="00405DCF" w:rsidP="00571B40">
      <w:pPr>
        <w:keepNext/>
        <w:spacing w:before="240" w:after="60" w:line="240" w:lineRule="auto"/>
        <w:jc w:val="both"/>
        <w:outlineLvl w:val="1"/>
        <w:rPr>
          <w:rFonts w:eastAsia="Times New Roman"/>
          <w:b/>
          <w:bCs/>
          <w:i/>
          <w:sz w:val="22"/>
          <w:szCs w:val="22"/>
          <w:lang w:val="en-GB" w:eastAsia="sk-SK"/>
        </w:rPr>
      </w:pPr>
      <w:r w:rsidRPr="00405DCF">
        <w:rPr>
          <w:rFonts w:eastAsia="Times New Roman"/>
          <w:b/>
          <w:bCs/>
          <w:i/>
          <w:sz w:val="22"/>
          <w:szCs w:val="22"/>
          <w:lang w:val="en-GB" w:eastAsia="sk-SK"/>
        </w:rPr>
        <w:lastRenderedPageBreak/>
        <w:t xml:space="preserve">3.7 </w:t>
      </w:r>
      <w:r w:rsidR="00571B40" w:rsidRPr="00571B40">
        <w:rPr>
          <w:rFonts w:eastAsia="Times New Roman"/>
          <w:b/>
          <w:bCs/>
          <w:i/>
          <w:sz w:val="22"/>
          <w:szCs w:val="22"/>
          <w:lang w:val="en-GB" w:eastAsia="sk-SK"/>
        </w:rPr>
        <w:t>April 2009 Amendments to the 1995 Law</w:t>
      </w:r>
    </w:p>
    <w:p w14:paraId="0C1F3F8B" w14:textId="77777777" w:rsidR="00405DCF" w:rsidRPr="00571B40" w:rsidRDefault="00405DCF" w:rsidP="00571B40">
      <w:pPr>
        <w:keepNext/>
        <w:spacing w:before="240" w:after="60" w:line="240" w:lineRule="auto"/>
        <w:jc w:val="both"/>
        <w:outlineLvl w:val="1"/>
        <w:rPr>
          <w:rFonts w:eastAsia="Times New Roman"/>
          <w:b/>
          <w:bCs/>
          <w:i/>
          <w:sz w:val="22"/>
          <w:szCs w:val="22"/>
          <w:lang w:val="en-GB" w:eastAsia="sk-SK"/>
        </w:rPr>
      </w:pPr>
    </w:p>
    <w:p w14:paraId="3D736F5F" w14:textId="77777777" w:rsidR="00571B40" w:rsidRPr="00571B40" w:rsidRDefault="00571B40" w:rsidP="00571B40">
      <w:pPr>
        <w:spacing w:after="0" w:line="240" w:lineRule="auto"/>
        <w:jc w:val="both"/>
        <w:rPr>
          <w:rFonts w:eastAsia="Times New Roman"/>
          <w:sz w:val="22"/>
          <w:szCs w:val="22"/>
          <w:lang w:val="en-GB" w:eastAsia="sk-SK"/>
        </w:rPr>
      </w:pPr>
      <w:r w:rsidRPr="00571B40">
        <w:rPr>
          <w:rFonts w:eastAsia="Times New Roman"/>
          <w:sz w:val="22"/>
          <w:szCs w:val="22"/>
          <w:lang w:val="en-GB" w:eastAsia="sk-SK"/>
        </w:rPr>
        <w:t>The provision that candidates could run in more than one constituency was amended so that they could only run in one (and on one party list); at the same time, there is still no requirement that they run in their constituency of residence.</w:t>
      </w:r>
      <w:r w:rsidRPr="00571B40">
        <w:rPr>
          <w:rFonts w:eastAsia="Times New Roman"/>
          <w:sz w:val="22"/>
          <w:szCs w:val="22"/>
          <w:vertAlign w:val="superscript"/>
          <w:lang w:val="en-GB" w:eastAsia="sk-SK"/>
        </w:rPr>
        <w:footnoteReference w:id="56"/>
      </w:r>
      <w:r w:rsidRPr="00571B40">
        <w:rPr>
          <w:rFonts w:eastAsia="Times New Roman"/>
          <w:sz w:val="22"/>
          <w:szCs w:val="22"/>
          <w:lang w:val="en-GB" w:eastAsia="sk-SK"/>
        </w:rPr>
        <w:t xml:space="preserve"> Voters continue to be allowed to vote in any constituency.</w:t>
      </w:r>
      <w:r w:rsidRPr="00571B40">
        <w:rPr>
          <w:rFonts w:eastAsia="Times New Roman"/>
          <w:sz w:val="22"/>
          <w:szCs w:val="22"/>
          <w:vertAlign w:val="superscript"/>
          <w:lang w:val="en-GB" w:eastAsia="sk-SK"/>
        </w:rPr>
        <w:footnoteReference w:id="57"/>
      </w:r>
      <w:r w:rsidRPr="00571B40">
        <w:rPr>
          <w:rFonts w:eastAsia="Times New Roman"/>
          <w:sz w:val="22"/>
          <w:szCs w:val="22"/>
          <w:lang w:val="en-GB" w:eastAsia="sk-SK"/>
        </w:rPr>
        <w:t xml:space="preserve">  Millard (2011) argues that this was an important change from the point of view of personalization: previously, the system’s potential to allow voters to determine their representatives had not been realized, as so many of those in fact elected were not those who had received most votes in the district. </w:t>
      </w:r>
    </w:p>
    <w:p w14:paraId="10847664" w14:textId="77777777" w:rsidR="00571B40" w:rsidRPr="00571B40" w:rsidRDefault="00571B40" w:rsidP="00571B40">
      <w:pPr>
        <w:spacing w:after="0" w:line="240" w:lineRule="auto"/>
        <w:jc w:val="both"/>
        <w:rPr>
          <w:rFonts w:eastAsia="Times New Roman"/>
          <w:sz w:val="22"/>
          <w:szCs w:val="22"/>
          <w:lang w:val="en-GB" w:eastAsia="sk-SK"/>
        </w:rPr>
      </w:pPr>
    </w:p>
    <w:p w14:paraId="44BE9CDD" w14:textId="593CCA06" w:rsidR="00571B40" w:rsidRDefault="00405DCF" w:rsidP="00571B40">
      <w:pPr>
        <w:keepNext/>
        <w:spacing w:before="240" w:after="60" w:line="240" w:lineRule="auto"/>
        <w:jc w:val="both"/>
        <w:outlineLvl w:val="1"/>
        <w:rPr>
          <w:rFonts w:eastAsia="Times New Roman"/>
          <w:b/>
          <w:bCs/>
          <w:i/>
          <w:sz w:val="22"/>
          <w:szCs w:val="22"/>
          <w:lang w:val="en-GB" w:eastAsia="sk-SK"/>
        </w:rPr>
      </w:pPr>
      <w:r w:rsidRPr="00405DCF">
        <w:rPr>
          <w:rFonts w:eastAsia="Times New Roman"/>
          <w:b/>
          <w:bCs/>
          <w:i/>
          <w:sz w:val="22"/>
          <w:szCs w:val="22"/>
          <w:lang w:val="en-GB" w:eastAsia="sk-SK"/>
        </w:rPr>
        <w:t>3.8</w:t>
      </w:r>
      <w:r w:rsidR="00571B40" w:rsidRPr="00571B40">
        <w:rPr>
          <w:rFonts w:eastAsia="Times New Roman"/>
          <w:b/>
          <w:bCs/>
          <w:i/>
          <w:sz w:val="22"/>
          <w:szCs w:val="22"/>
          <w:lang w:val="en-GB" w:eastAsia="sk-SK"/>
        </w:rPr>
        <w:t xml:space="preserve"> Conclusion: the system in 2011</w:t>
      </w:r>
    </w:p>
    <w:p w14:paraId="25D57889" w14:textId="77777777" w:rsidR="00405DCF" w:rsidRPr="00571B40" w:rsidRDefault="00405DCF" w:rsidP="00571B40">
      <w:pPr>
        <w:keepNext/>
        <w:spacing w:before="240" w:after="60" w:line="240" w:lineRule="auto"/>
        <w:jc w:val="both"/>
        <w:outlineLvl w:val="1"/>
        <w:rPr>
          <w:rFonts w:eastAsia="Times New Roman"/>
          <w:b/>
          <w:bCs/>
          <w:i/>
          <w:sz w:val="22"/>
          <w:szCs w:val="22"/>
          <w:lang w:val="en-GB" w:eastAsia="sk-SK"/>
        </w:rPr>
      </w:pPr>
    </w:p>
    <w:p w14:paraId="5F94AF83" w14:textId="77777777" w:rsidR="00571B40" w:rsidRPr="00571B40" w:rsidRDefault="00571B40" w:rsidP="00571B40">
      <w:pPr>
        <w:spacing w:after="0" w:line="240" w:lineRule="auto"/>
        <w:jc w:val="both"/>
        <w:rPr>
          <w:rFonts w:eastAsia="Times New Roman"/>
          <w:sz w:val="22"/>
          <w:szCs w:val="22"/>
          <w:lang w:val="en-GB" w:eastAsia="sk-SK"/>
        </w:rPr>
      </w:pPr>
      <w:r w:rsidRPr="00571B40">
        <w:rPr>
          <w:rFonts w:eastAsia="Times New Roman"/>
          <w:sz w:val="22"/>
          <w:szCs w:val="22"/>
          <w:lang w:val="en-GB" w:eastAsia="sk-SK"/>
        </w:rPr>
        <w:t xml:space="preserve">The electoral system in Latvia has in essence remained the same since 1992. Those features of the system that are still contested to date are those regarding the franchise, and requirements that candidates must meet in order to compete in the elections. </w:t>
      </w:r>
    </w:p>
    <w:p w14:paraId="661E1DA3" w14:textId="77777777" w:rsidR="00571B40" w:rsidRPr="00571B40" w:rsidRDefault="00571B40" w:rsidP="00571B40">
      <w:pPr>
        <w:spacing w:after="0" w:line="240" w:lineRule="auto"/>
        <w:jc w:val="both"/>
        <w:rPr>
          <w:rFonts w:eastAsia="Times New Roman"/>
          <w:sz w:val="22"/>
          <w:szCs w:val="22"/>
          <w:lang w:val="en-GB" w:eastAsia="sk-SK"/>
        </w:rPr>
      </w:pPr>
    </w:p>
    <w:p w14:paraId="7A370CE8" w14:textId="14C9D5D6" w:rsidR="00571B40" w:rsidRDefault="00571B40" w:rsidP="00571B40">
      <w:pPr>
        <w:spacing w:after="0" w:line="240" w:lineRule="auto"/>
        <w:jc w:val="both"/>
        <w:rPr>
          <w:rFonts w:eastAsia="Times New Roman"/>
          <w:b/>
          <w:sz w:val="28"/>
          <w:szCs w:val="28"/>
          <w:lang w:val="en-GB" w:eastAsia="sk-SK"/>
        </w:rPr>
      </w:pPr>
      <w:r w:rsidRPr="00571B40">
        <w:rPr>
          <w:rFonts w:eastAsia="Times New Roman"/>
          <w:b/>
          <w:sz w:val="28"/>
          <w:szCs w:val="28"/>
          <w:lang w:val="en-GB" w:eastAsia="sk-SK"/>
        </w:rPr>
        <w:t>Referen</w:t>
      </w:r>
      <w:r>
        <w:rPr>
          <w:rFonts w:eastAsia="Times New Roman"/>
          <w:b/>
          <w:sz w:val="28"/>
          <w:szCs w:val="28"/>
          <w:lang w:val="en-GB" w:eastAsia="sk-SK"/>
        </w:rPr>
        <w:t>ces</w:t>
      </w:r>
    </w:p>
    <w:p w14:paraId="1E1D2459" w14:textId="77777777" w:rsidR="00571B40" w:rsidRPr="00571B40" w:rsidRDefault="00571B40" w:rsidP="00571B40">
      <w:pPr>
        <w:spacing w:after="0" w:line="240" w:lineRule="auto"/>
        <w:jc w:val="both"/>
        <w:rPr>
          <w:rFonts w:eastAsia="Times New Roman"/>
          <w:b/>
          <w:sz w:val="22"/>
          <w:szCs w:val="22"/>
          <w:lang w:val="en-GB" w:eastAsia="sk-SK"/>
        </w:rPr>
      </w:pPr>
    </w:p>
    <w:p w14:paraId="2CF72069" w14:textId="77777777" w:rsidR="00571B40" w:rsidRPr="00571B40" w:rsidRDefault="00571B40" w:rsidP="00571B40">
      <w:pPr>
        <w:suppressAutoHyphens/>
        <w:spacing w:before="120" w:after="120" w:line="240" w:lineRule="auto"/>
        <w:ind w:left="425" w:hanging="425"/>
        <w:jc w:val="both"/>
        <w:rPr>
          <w:rFonts w:eastAsia="Times New Roman"/>
          <w:sz w:val="22"/>
          <w:szCs w:val="22"/>
          <w:lang w:val="en-GB" w:eastAsia="fr-FR"/>
        </w:rPr>
      </w:pPr>
      <w:r w:rsidRPr="00571B40">
        <w:rPr>
          <w:rFonts w:eastAsia="Times New Roman"/>
          <w:sz w:val="22"/>
          <w:szCs w:val="22"/>
          <w:lang w:val="en-GB" w:eastAsia="fr-FR"/>
        </w:rPr>
        <w:t xml:space="preserve">Balodis, Ringolds (2004?), </w:t>
      </w:r>
      <w:r w:rsidRPr="00571B40">
        <w:rPr>
          <w:rFonts w:eastAsia="Times New Roman"/>
          <w:i/>
          <w:sz w:val="22"/>
          <w:szCs w:val="22"/>
          <w:lang w:val="en-GB" w:eastAsia="fr-FR"/>
        </w:rPr>
        <w:t>The Constitution of Latvia</w:t>
      </w:r>
      <w:r w:rsidRPr="00571B40">
        <w:rPr>
          <w:rFonts w:eastAsia="Times New Roman"/>
          <w:sz w:val="22"/>
          <w:szCs w:val="22"/>
          <w:lang w:val="en-GB" w:eastAsia="fr-FR"/>
        </w:rPr>
        <w:t xml:space="preserve">, University of Latvia, </w:t>
      </w:r>
      <w:hyperlink r:id="rId35" w:history="1">
        <w:r w:rsidRPr="00571B40">
          <w:rPr>
            <w:rFonts w:eastAsia="Times New Roman"/>
            <w:color w:val="0000FF"/>
            <w:sz w:val="22"/>
            <w:szCs w:val="22"/>
            <w:u w:val="single"/>
            <w:lang w:val="en-GB" w:eastAsia="fr-FR"/>
          </w:rPr>
          <w:t>http://www.irp.uni-trier.de/typo3/fileadmin/template/pdf/26_balodis.pdf</w:t>
        </w:r>
      </w:hyperlink>
    </w:p>
    <w:p w14:paraId="1FA32700" w14:textId="77777777" w:rsidR="00571B40" w:rsidRPr="00571B40" w:rsidRDefault="00571B40" w:rsidP="00571B40">
      <w:pPr>
        <w:suppressAutoHyphens/>
        <w:spacing w:before="120" w:after="120" w:line="240" w:lineRule="auto"/>
        <w:jc w:val="both"/>
        <w:rPr>
          <w:rFonts w:eastAsia="Times New Roman"/>
          <w:sz w:val="22"/>
          <w:szCs w:val="22"/>
          <w:lang w:val="en-GB" w:eastAsia="fr-FR"/>
        </w:rPr>
      </w:pPr>
      <w:r w:rsidRPr="00571B40">
        <w:rPr>
          <w:rFonts w:eastAsia="Times New Roman"/>
          <w:sz w:val="22"/>
          <w:szCs w:val="22"/>
          <w:lang w:val="en-GB" w:eastAsia="fr-FR"/>
        </w:rPr>
        <w:t xml:space="preserve">Gallagher, Michael and Paul Mitchell (2005), </w:t>
      </w:r>
      <w:proofErr w:type="gramStart"/>
      <w:r w:rsidRPr="00571B40">
        <w:rPr>
          <w:rFonts w:eastAsia="Times New Roman"/>
          <w:i/>
          <w:sz w:val="22"/>
          <w:szCs w:val="22"/>
          <w:lang w:val="en-GB" w:eastAsia="fr-FR"/>
        </w:rPr>
        <w:t>The</w:t>
      </w:r>
      <w:proofErr w:type="gramEnd"/>
      <w:r w:rsidRPr="00571B40">
        <w:rPr>
          <w:rFonts w:eastAsia="Times New Roman"/>
          <w:i/>
          <w:sz w:val="22"/>
          <w:szCs w:val="22"/>
          <w:lang w:val="en-GB" w:eastAsia="fr-FR"/>
        </w:rPr>
        <w:t xml:space="preserve"> politics of electoral systems</w:t>
      </w:r>
      <w:r w:rsidRPr="00571B40">
        <w:rPr>
          <w:rFonts w:eastAsia="Times New Roman"/>
          <w:sz w:val="22"/>
          <w:szCs w:val="22"/>
          <w:lang w:val="en-GB" w:eastAsia="fr-FR"/>
        </w:rPr>
        <w:t>, OUP.</w:t>
      </w:r>
    </w:p>
    <w:p w14:paraId="511BF015" w14:textId="77777777" w:rsidR="00571B40" w:rsidRPr="00571B40" w:rsidRDefault="00571B40" w:rsidP="00571B40">
      <w:pPr>
        <w:suppressAutoHyphens/>
        <w:spacing w:before="120" w:after="120" w:line="240" w:lineRule="auto"/>
        <w:jc w:val="both"/>
        <w:rPr>
          <w:rFonts w:eastAsia="Times New Roman"/>
          <w:sz w:val="22"/>
          <w:szCs w:val="22"/>
          <w:lang w:val="en-GB" w:eastAsia="fr-FR"/>
        </w:rPr>
      </w:pPr>
      <w:r w:rsidRPr="00571B40">
        <w:rPr>
          <w:rFonts w:eastAsia="Times New Roman"/>
          <w:sz w:val="22"/>
          <w:szCs w:val="22"/>
          <w:lang w:val="en-GB" w:eastAsia="fr-FR"/>
        </w:rPr>
        <w:t xml:space="preserve">Millard, Frances (2011).  </w:t>
      </w:r>
      <w:proofErr w:type="gramStart"/>
      <w:r w:rsidRPr="00571B40">
        <w:rPr>
          <w:rFonts w:eastAsia="Times New Roman"/>
          <w:sz w:val="22"/>
          <w:szCs w:val="22"/>
          <w:lang w:val="en-GB" w:eastAsia="fr-FR"/>
        </w:rPr>
        <w:t>“Electoral-System Change in Latvia and the Elections of 2010.”</w:t>
      </w:r>
      <w:proofErr w:type="gramEnd"/>
      <w:r w:rsidRPr="00571B40">
        <w:rPr>
          <w:rFonts w:eastAsia="Times New Roman"/>
          <w:sz w:val="22"/>
          <w:szCs w:val="22"/>
          <w:lang w:val="en-GB" w:eastAsia="fr-FR"/>
        </w:rPr>
        <w:t xml:space="preserve">  </w:t>
      </w:r>
      <w:proofErr w:type="gramStart"/>
      <w:r w:rsidRPr="00571B40">
        <w:rPr>
          <w:rFonts w:eastAsia="Times New Roman"/>
          <w:i/>
          <w:sz w:val="22"/>
          <w:szCs w:val="22"/>
          <w:lang w:val="en-GB" w:eastAsia="fr-FR"/>
        </w:rPr>
        <w:t xml:space="preserve">Communist and Post-Communist Studies </w:t>
      </w:r>
      <w:r w:rsidRPr="00571B40">
        <w:rPr>
          <w:rFonts w:eastAsia="Times New Roman"/>
          <w:sz w:val="22"/>
          <w:szCs w:val="22"/>
          <w:lang w:val="en-GB" w:eastAsia="fr-FR"/>
        </w:rPr>
        <w:t>44, no. 4 (December), 309–18.</w:t>
      </w:r>
      <w:proofErr w:type="gramEnd"/>
    </w:p>
    <w:p w14:paraId="37D6419A" w14:textId="77777777" w:rsidR="00571B40" w:rsidRPr="00571B40" w:rsidRDefault="00571B40" w:rsidP="00571B40">
      <w:pPr>
        <w:suppressAutoHyphens/>
        <w:spacing w:before="120" w:after="120" w:line="240" w:lineRule="auto"/>
        <w:ind w:left="425" w:hanging="425"/>
        <w:jc w:val="both"/>
        <w:rPr>
          <w:rFonts w:eastAsia="Times New Roman"/>
          <w:sz w:val="22"/>
          <w:szCs w:val="22"/>
          <w:lang w:val="en-GB" w:eastAsia="fr-FR"/>
        </w:rPr>
      </w:pPr>
      <w:r w:rsidRPr="00571B40">
        <w:rPr>
          <w:rFonts w:eastAsia="Times New Roman"/>
          <w:sz w:val="22"/>
          <w:szCs w:val="22"/>
          <w:lang w:val="en-GB" w:eastAsia="fr-FR"/>
        </w:rPr>
        <w:t xml:space="preserve">Pettai, Mikkel and Vello Pettai (2004), ‘The Baltics: independence with divergent electoral systems’ in Josep Colomer and Bernard Grofman, </w:t>
      </w:r>
      <w:r w:rsidRPr="00571B40">
        <w:rPr>
          <w:rFonts w:eastAsia="Times New Roman"/>
          <w:i/>
          <w:sz w:val="22"/>
          <w:szCs w:val="22"/>
          <w:lang w:val="en-GB" w:eastAsia="fr-FR"/>
        </w:rPr>
        <w:t>Handbook of electoral system choice</w:t>
      </w:r>
      <w:r w:rsidRPr="00571B40">
        <w:rPr>
          <w:rFonts w:eastAsia="Times New Roman"/>
          <w:sz w:val="22"/>
          <w:szCs w:val="22"/>
          <w:lang w:val="en-GB" w:eastAsia="fr-FR"/>
        </w:rPr>
        <w:t>, Palgrave Macmillan</w:t>
      </w:r>
    </w:p>
    <w:p w14:paraId="04B75483" w14:textId="27261DE8" w:rsidR="00F71FEC" w:rsidRDefault="00F71FEC" w:rsidP="00DC61EA">
      <w:pPr>
        <w:pStyle w:val="NoSpacing"/>
      </w:pPr>
    </w:p>
    <w:p w14:paraId="6C21AFA2" w14:textId="77777777" w:rsidR="00F71FEC" w:rsidRDefault="00F71FEC" w:rsidP="00F71FEC">
      <w:pPr>
        <w:pStyle w:val="NoSpacing"/>
        <w:rPr>
          <w:b/>
          <w:lang w:val="en-US"/>
        </w:rPr>
      </w:pPr>
    </w:p>
    <w:bookmarkEnd w:id="18"/>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sidRPr="006917DB">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1E7133EC" w14:textId="77777777" w:rsidR="00DC61EA" w:rsidRDefault="00DC61EA" w:rsidP="00DC61EA">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bookmarkStart w:id="112" w:name="_GoBack"/>
      <w:bookmarkEnd w:id="112"/>
    </w:p>
    <w:sectPr w:rsidR="00321903" w:rsidRPr="00E34F32" w:rsidSect="00E00B5D">
      <w:headerReference w:type="default" r:id="rId36"/>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46F63" w14:textId="77777777" w:rsidR="005464F8" w:rsidRDefault="005464F8">
      <w:pPr>
        <w:rPr>
          <w:rFonts w:cs="Times New Roman"/>
        </w:rPr>
      </w:pPr>
      <w:r>
        <w:rPr>
          <w:rFonts w:cs="Times New Roman"/>
        </w:rPr>
        <w:separator/>
      </w:r>
    </w:p>
  </w:endnote>
  <w:endnote w:type="continuationSeparator" w:id="0">
    <w:p w14:paraId="7876E09F" w14:textId="77777777" w:rsidR="005464F8" w:rsidRDefault="005464F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AA6E17" w:rsidRDefault="00AA6E17"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AA6E17" w:rsidRDefault="00AA6E17"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AA6E17" w:rsidRDefault="00AA6E17"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61EA">
      <w:rPr>
        <w:rStyle w:val="PageNumber"/>
        <w:noProof/>
      </w:rPr>
      <w:t>11</w:t>
    </w:r>
    <w:r>
      <w:rPr>
        <w:rStyle w:val="PageNumber"/>
      </w:rPr>
      <w:fldChar w:fldCharType="end"/>
    </w:r>
  </w:p>
  <w:p w14:paraId="6A3BA82C" w14:textId="77777777" w:rsidR="00AA6E17" w:rsidRDefault="00AA6E17"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508E8" w14:textId="77777777" w:rsidR="005464F8" w:rsidRDefault="005464F8">
      <w:pPr>
        <w:rPr>
          <w:rFonts w:cs="Times New Roman"/>
        </w:rPr>
      </w:pPr>
      <w:r>
        <w:rPr>
          <w:rFonts w:cs="Times New Roman"/>
        </w:rPr>
        <w:separator/>
      </w:r>
    </w:p>
  </w:footnote>
  <w:footnote w:type="continuationSeparator" w:id="0">
    <w:p w14:paraId="6947FC86" w14:textId="77777777" w:rsidR="005464F8" w:rsidRDefault="005464F8">
      <w:pPr>
        <w:rPr>
          <w:rFonts w:cs="Times New Roman"/>
        </w:rPr>
      </w:pPr>
      <w:r>
        <w:rPr>
          <w:rFonts w:cs="Times New Roman"/>
        </w:rPr>
        <w:continuationSeparator/>
      </w:r>
    </w:p>
  </w:footnote>
  <w:footnote w:id="1">
    <w:p w14:paraId="66F6E0CB"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Ringolds Balodis (2004?), </w:t>
      </w:r>
      <w:r w:rsidRPr="00FC2A2D">
        <w:rPr>
          <w:i/>
          <w:sz w:val="18"/>
          <w:szCs w:val="18"/>
        </w:rPr>
        <w:t>The Constitution of Latvia</w:t>
      </w:r>
      <w:r w:rsidRPr="00FC2A2D">
        <w:rPr>
          <w:sz w:val="18"/>
          <w:szCs w:val="18"/>
        </w:rPr>
        <w:t xml:space="preserve">, University of Latvia, </w:t>
      </w:r>
      <w:hyperlink r:id="rId1" w:history="1">
        <w:r w:rsidRPr="00FC2A2D">
          <w:rPr>
            <w:rStyle w:val="Hyperlink"/>
            <w:sz w:val="18"/>
            <w:szCs w:val="18"/>
          </w:rPr>
          <w:t>http://www.irp.uni-trier.de/typo3/fileadmin/template/pdf/26_balodis.pdf</w:t>
        </w:r>
      </w:hyperlink>
      <w:r w:rsidRPr="00FC2A2D">
        <w:rPr>
          <w:sz w:val="18"/>
          <w:szCs w:val="18"/>
        </w:rPr>
        <w:t xml:space="preserve"> </w:t>
      </w:r>
    </w:p>
  </w:footnote>
  <w:footnote w:id="2">
    <w:p w14:paraId="2A05C7CA"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Soiuz Sovetskikh Sotsialiticheskikh Soiuz, </w:t>
      </w:r>
      <w:r w:rsidRPr="00FC2A2D">
        <w:rPr>
          <w:i/>
          <w:sz w:val="18"/>
          <w:szCs w:val="18"/>
        </w:rPr>
        <w:t>Zakon o vyborakh narodnykh deputatov SSSR</w:t>
      </w:r>
      <w:r w:rsidRPr="00FC2A2D">
        <w:rPr>
          <w:sz w:val="18"/>
          <w:szCs w:val="18"/>
        </w:rPr>
        <w:t xml:space="preserve"> 1.12.1988.</w:t>
      </w:r>
    </w:p>
  </w:footnote>
  <w:footnote w:id="3">
    <w:p w14:paraId="3ACE656D"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Likums "Par 5. </w:t>
      </w:r>
      <w:proofErr w:type="gramStart"/>
      <w:r w:rsidRPr="00FC2A2D">
        <w:rPr>
          <w:sz w:val="18"/>
          <w:szCs w:val="18"/>
        </w:rPr>
        <w:t>Saeimas vēlēšanām" (Ziņotājs, 46, 03.12.1992.)</w:t>
      </w:r>
      <w:proofErr w:type="gramEnd"/>
      <w:r w:rsidRPr="00FC2A2D">
        <w:rPr>
          <w:sz w:val="18"/>
          <w:szCs w:val="18"/>
        </w:rPr>
        <w:t xml:space="preserve"> [</w:t>
      </w:r>
      <w:proofErr w:type="gramStart"/>
      <w:r w:rsidRPr="00FC2A2D">
        <w:rPr>
          <w:sz w:val="18"/>
          <w:szCs w:val="18"/>
        </w:rPr>
        <w:t>stājas</w:t>
      </w:r>
      <w:proofErr w:type="gramEnd"/>
      <w:r w:rsidRPr="00FC2A2D">
        <w:rPr>
          <w:sz w:val="18"/>
          <w:szCs w:val="18"/>
        </w:rPr>
        <w:t xml:space="preserve"> spēkā 20.10.1992.; zaudējis spēku 07.06.1995.]</w:t>
      </w:r>
    </w:p>
  </w:footnote>
  <w:footnote w:id="4">
    <w:p w14:paraId="1B15E6A9"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Saeimas vēlēšanu likums</w:t>
      </w:r>
    </w:p>
  </w:footnote>
  <w:footnote w:id="5">
    <w:p w14:paraId="323E8FA0"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Grozījumi Saeimas vēlēšanu likumā</w:t>
      </w:r>
    </w:p>
  </w:footnote>
  <w:footnote w:id="6">
    <w:p w14:paraId="2518C9BD"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ibid</w:t>
      </w:r>
    </w:p>
  </w:footnote>
  <w:footnote w:id="7">
    <w:p w14:paraId="43001E9E"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ibid</w:t>
      </w:r>
    </w:p>
  </w:footnote>
  <w:footnote w:id="8">
    <w:p w14:paraId="76A36DC2" w14:textId="77777777" w:rsidR="00571B40" w:rsidRPr="009E7669" w:rsidRDefault="00571B40" w:rsidP="00571B40">
      <w:pPr>
        <w:pStyle w:val="FootnoteText"/>
        <w:rPr>
          <w:sz w:val="18"/>
          <w:szCs w:val="18"/>
          <w:lang w:val="fr-BE"/>
        </w:rPr>
      </w:pPr>
      <w:r w:rsidRPr="00FC2A2D">
        <w:rPr>
          <w:rStyle w:val="FootnoteReference"/>
          <w:sz w:val="18"/>
          <w:szCs w:val="18"/>
        </w:rPr>
        <w:footnoteRef/>
      </w:r>
      <w:r w:rsidRPr="009E7669">
        <w:rPr>
          <w:sz w:val="18"/>
          <w:szCs w:val="18"/>
          <w:lang w:val="fr-BE"/>
        </w:rPr>
        <w:t xml:space="preserve"> </w:t>
      </w:r>
      <w:proofErr w:type="gramStart"/>
      <w:r w:rsidRPr="009E7669">
        <w:rPr>
          <w:sz w:val="18"/>
          <w:szCs w:val="18"/>
          <w:lang w:val="fr-BE"/>
        </w:rPr>
        <w:t>ibid</w:t>
      </w:r>
      <w:proofErr w:type="gramEnd"/>
    </w:p>
  </w:footnote>
  <w:footnote w:id="9">
    <w:p w14:paraId="76B6ADEC" w14:textId="77777777" w:rsidR="00571B40" w:rsidRPr="009E7669" w:rsidRDefault="00571B40" w:rsidP="00571B40">
      <w:pPr>
        <w:pStyle w:val="FootnoteText"/>
        <w:rPr>
          <w:sz w:val="18"/>
          <w:szCs w:val="18"/>
          <w:lang w:val="fr-BE"/>
        </w:rPr>
      </w:pPr>
      <w:r w:rsidRPr="00FC2A2D">
        <w:rPr>
          <w:rStyle w:val="FootnoteReference"/>
          <w:sz w:val="18"/>
          <w:szCs w:val="18"/>
        </w:rPr>
        <w:footnoteRef/>
      </w:r>
      <w:r w:rsidRPr="009E7669">
        <w:rPr>
          <w:sz w:val="18"/>
          <w:szCs w:val="18"/>
          <w:lang w:val="fr-BE"/>
        </w:rPr>
        <w:t xml:space="preserve"> Par Saeimas vēlēšanu likuma 2.panta 2.punkta atbilstību Latvijas Republikas Satversmes </w:t>
      </w:r>
      <w:proofErr w:type="gramStart"/>
      <w:r w:rsidRPr="009E7669">
        <w:rPr>
          <w:sz w:val="18"/>
          <w:szCs w:val="18"/>
          <w:lang w:val="fr-BE"/>
        </w:rPr>
        <w:t>6.,</w:t>
      </w:r>
      <w:proofErr w:type="gramEnd"/>
      <w:r w:rsidRPr="009E7669">
        <w:rPr>
          <w:sz w:val="18"/>
          <w:szCs w:val="18"/>
          <w:lang w:val="fr-BE"/>
        </w:rPr>
        <w:t xml:space="preserve"> 8. </w:t>
      </w:r>
      <w:proofErr w:type="gramStart"/>
      <w:r w:rsidRPr="009E7669">
        <w:rPr>
          <w:sz w:val="18"/>
          <w:szCs w:val="18"/>
          <w:lang w:val="fr-BE"/>
        </w:rPr>
        <w:t>un</w:t>
      </w:r>
      <w:proofErr w:type="gramEnd"/>
      <w:r w:rsidRPr="009E7669">
        <w:rPr>
          <w:sz w:val="18"/>
          <w:szCs w:val="18"/>
          <w:lang w:val="fr-BE"/>
        </w:rPr>
        <w:t xml:space="preserve"> 91.pantam</w:t>
      </w:r>
    </w:p>
  </w:footnote>
  <w:footnote w:id="10">
    <w:p w14:paraId="593B4014" w14:textId="77777777" w:rsidR="00571B40" w:rsidRPr="009E7669" w:rsidRDefault="00571B40" w:rsidP="00571B40">
      <w:pPr>
        <w:pStyle w:val="FootnoteText"/>
        <w:rPr>
          <w:sz w:val="18"/>
          <w:szCs w:val="18"/>
          <w:lang w:val="fr-BE"/>
        </w:rPr>
      </w:pPr>
      <w:r w:rsidRPr="00FC2A2D">
        <w:rPr>
          <w:rStyle w:val="FootnoteReference"/>
          <w:sz w:val="18"/>
          <w:szCs w:val="18"/>
        </w:rPr>
        <w:footnoteRef/>
      </w:r>
      <w:r w:rsidRPr="009E7669">
        <w:rPr>
          <w:sz w:val="18"/>
          <w:szCs w:val="18"/>
          <w:lang w:val="fr-BE"/>
        </w:rPr>
        <w:t xml:space="preserve"> Grozījumi Saeimas vēlēšanu likumā</w:t>
      </w:r>
    </w:p>
  </w:footnote>
  <w:footnote w:id="11">
    <w:p w14:paraId="51161728" w14:textId="77777777" w:rsidR="00571B40" w:rsidRPr="009E7669" w:rsidRDefault="00571B40" w:rsidP="00571B40">
      <w:pPr>
        <w:pStyle w:val="FootnoteText"/>
        <w:rPr>
          <w:sz w:val="18"/>
          <w:szCs w:val="18"/>
          <w:lang w:val="fr-BE"/>
        </w:rPr>
      </w:pPr>
      <w:r w:rsidRPr="00FC2A2D">
        <w:rPr>
          <w:rStyle w:val="FootnoteReference"/>
          <w:sz w:val="18"/>
          <w:szCs w:val="18"/>
        </w:rPr>
        <w:footnoteRef/>
      </w:r>
      <w:r w:rsidRPr="009E7669">
        <w:rPr>
          <w:sz w:val="18"/>
          <w:szCs w:val="18"/>
          <w:lang w:val="fr-BE"/>
        </w:rPr>
        <w:t xml:space="preserve"> </w:t>
      </w:r>
      <w:proofErr w:type="gramStart"/>
      <w:r w:rsidRPr="009E7669">
        <w:rPr>
          <w:sz w:val="18"/>
          <w:szCs w:val="18"/>
          <w:lang w:val="fr-BE"/>
        </w:rPr>
        <w:t>ibid</w:t>
      </w:r>
      <w:proofErr w:type="gramEnd"/>
    </w:p>
  </w:footnote>
  <w:footnote w:id="12">
    <w:p w14:paraId="578335D7" w14:textId="77777777" w:rsidR="00571B40" w:rsidRPr="009E7669" w:rsidRDefault="00571B40" w:rsidP="00571B40">
      <w:pPr>
        <w:pStyle w:val="FootnoteText"/>
        <w:rPr>
          <w:sz w:val="18"/>
          <w:szCs w:val="18"/>
          <w:lang w:val="fr-BE"/>
        </w:rPr>
      </w:pPr>
      <w:r w:rsidRPr="00FC2A2D">
        <w:rPr>
          <w:rStyle w:val="FootnoteReference"/>
          <w:sz w:val="18"/>
          <w:szCs w:val="18"/>
        </w:rPr>
        <w:footnoteRef/>
      </w:r>
      <w:r w:rsidRPr="009E7669">
        <w:rPr>
          <w:sz w:val="18"/>
          <w:szCs w:val="18"/>
          <w:lang w:val="fr-BE"/>
        </w:rPr>
        <w:t xml:space="preserve"> </w:t>
      </w:r>
      <w:proofErr w:type="gramStart"/>
      <w:r w:rsidRPr="009E7669">
        <w:rPr>
          <w:sz w:val="18"/>
          <w:szCs w:val="18"/>
          <w:lang w:val="fr-BE"/>
        </w:rPr>
        <w:t>ibid</w:t>
      </w:r>
      <w:proofErr w:type="gramEnd"/>
    </w:p>
  </w:footnote>
  <w:footnote w:id="13">
    <w:p w14:paraId="5FB570EA" w14:textId="77777777" w:rsidR="00571B40" w:rsidRPr="00EB3C76" w:rsidRDefault="00571B40" w:rsidP="00571B40">
      <w:pPr>
        <w:pStyle w:val="FootnoteText"/>
        <w:rPr>
          <w:sz w:val="18"/>
          <w:szCs w:val="18"/>
          <w:lang w:val="fr-BE"/>
        </w:rPr>
      </w:pPr>
      <w:r w:rsidRPr="00FC2A2D">
        <w:rPr>
          <w:rStyle w:val="FootnoteReference"/>
          <w:sz w:val="18"/>
          <w:szCs w:val="18"/>
        </w:rPr>
        <w:footnoteRef/>
      </w:r>
      <w:r w:rsidRPr="00EB3C76">
        <w:rPr>
          <w:sz w:val="18"/>
          <w:szCs w:val="18"/>
          <w:lang w:val="fr-BE"/>
        </w:rPr>
        <w:t xml:space="preserve"> </w:t>
      </w:r>
      <w:proofErr w:type="gramStart"/>
      <w:r w:rsidRPr="00EB3C76">
        <w:rPr>
          <w:sz w:val="18"/>
          <w:szCs w:val="18"/>
          <w:lang w:val="fr-BE"/>
        </w:rPr>
        <w:t>ibid</w:t>
      </w:r>
      <w:proofErr w:type="gramEnd"/>
    </w:p>
  </w:footnote>
  <w:footnote w:id="14">
    <w:p w14:paraId="4EB9ABDB"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ibid</w:t>
      </w:r>
    </w:p>
  </w:footnote>
  <w:footnote w:id="15">
    <w:p w14:paraId="4402CB26"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ibid</w:t>
      </w:r>
    </w:p>
  </w:footnote>
  <w:footnote w:id="16">
    <w:p w14:paraId="4F2383A2" w14:textId="77777777" w:rsidR="00571B40" w:rsidRPr="00FC2A2D" w:rsidRDefault="00571B40" w:rsidP="00571B40">
      <w:pPr>
        <w:pStyle w:val="NormalWeb"/>
        <w:spacing w:before="0" w:beforeAutospacing="0" w:after="0"/>
        <w:rPr>
          <w:rFonts w:cs="Calibri"/>
          <w:sz w:val="18"/>
          <w:szCs w:val="18"/>
        </w:rPr>
      </w:pPr>
      <w:r w:rsidRPr="00FC2A2D">
        <w:rPr>
          <w:rStyle w:val="FootnoteReference"/>
          <w:rFonts w:cs="Calibri"/>
          <w:sz w:val="18"/>
          <w:szCs w:val="18"/>
        </w:rPr>
        <w:footnoteRef/>
      </w:r>
      <w:r w:rsidRPr="00FC2A2D">
        <w:rPr>
          <w:rFonts w:cs="Calibri"/>
          <w:sz w:val="18"/>
          <w:szCs w:val="18"/>
        </w:rPr>
        <w:t xml:space="preserve"> The opening preamble of the law reads: “Latvijas Republikas Augstākā Padome nolemj: Piemērot 5. </w:t>
      </w:r>
      <w:proofErr w:type="gramStart"/>
      <w:r w:rsidRPr="00FC2A2D">
        <w:rPr>
          <w:rFonts w:cs="Calibri"/>
          <w:sz w:val="18"/>
          <w:szCs w:val="18"/>
        </w:rPr>
        <w:t>Saeimas vēlēšanām Latvijas Republikas 1922.</w:t>
      </w:r>
      <w:proofErr w:type="gramEnd"/>
      <w:r w:rsidRPr="00FC2A2D">
        <w:rPr>
          <w:rFonts w:cs="Calibri"/>
          <w:sz w:val="18"/>
          <w:szCs w:val="18"/>
        </w:rPr>
        <w:t xml:space="preserve"> </w:t>
      </w:r>
      <w:proofErr w:type="gramStart"/>
      <w:r w:rsidRPr="00FC2A2D">
        <w:rPr>
          <w:rFonts w:cs="Calibri"/>
          <w:sz w:val="18"/>
          <w:szCs w:val="18"/>
        </w:rPr>
        <w:t>gada</w:t>
      </w:r>
      <w:proofErr w:type="gramEnd"/>
      <w:r w:rsidRPr="00FC2A2D">
        <w:rPr>
          <w:rFonts w:cs="Calibri"/>
          <w:sz w:val="18"/>
          <w:szCs w:val="18"/>
        </w:rPr>
        <w:t xml:space="preserve"> 9 jūnija «Likumu par Saeimas vēlēšanām» šādā redakcijā”, see: </w:t>
      </w:r>
      <w:hyperlink r:id="rId2" w:history="1">
        <w:r w:rsidRPr="00FC2A2D">
          <w:rPr>
            <w:rStyle w:val="Hyperlink"/>
            <w:rFonts w:cs="Calibri"/>
            <w:sz w:val="18"/>
            <w:szCs w:val="18"/>
          </w:rPr>
          <w:t>http://www.likumi.lv/doc.php?id=66524&amp;from=off</w:t>
        </w:r>
      </w:hyperlink>
      <w:r>
        <w:rPr>
          <w:rFonts w:cs="Calibri"/>
          <w:sz w:val="18"/>
          <w:szCs w:val="18"/>
        </w:rPr>
        <w:t>.</w:t>
      </w:r>
    </w:p>
  </w:footnote>
  <w:footnote w:id="17">
    <w:p w14:paraId="207DBA04"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51, 1992 law</w:t>
      </w:r>
    </w:p>
  </w:footnote>
  <w:footnote w:id="18">
    <w:p w14:paraId="1255EEF7"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5, The Latvian Constitution, 21 March 1933 (readopted and revised 27 January 1994)</w:t>
      </w:r>
    </w:p>
  </w:footnote>
  <w:footnote w:id="19">
    <w:p w14:paraId="05BD4676" w14:textId="77777777" w:rsidR="00571B40" w:rsidRPr="00EB3C76" w:rsidRDefault="00571B40" w:rsidP="00571B40">
      <w:pPr>
        <w:pStyle w:val="FootnoteText"/>
        <w:rPr>
          <w:sz w:val="18"/>
          <w:szCs w:val="18"/>
        </w:rPr>
      </w:pPr>
      <w:r w:rsidRPr="00FC2A2D">
        <w:rPr>
          <w:rStyle w:val="FootnoteReference"/>
          <w:sz w:val="18"/>
          <w:szCs w:val="18"/>
        </w:rPr>
        <w:footnoteRef/>
      </w:r>
      <w:r w:rsidRPr="00EB3C76">
        <w:rPr>
          <w:sz w:val="18"/>
          <w:szCs w:val="18"/>
        </w:rPr>
        <w:t xml:space="preserve"> </w:t>
      </w:r>
      <w:proofErr w:type="gramStart"/>
      <w:r w:rsidRPr="00EB3C76">
        <w:rPr>
          <w:sz w:val="18"/>
          <w:szCs w:val="18"/>
        </w:rPr>
        <w:t>Article 51, 1992 law; Article 38, 2007 law.</w:t>
      </w:r>
      <w:proofErr w:type="gramEnd"/>
    </w:p>
  </w:footnote>
  <w:footnote w:id="20">
    <w:p w14:paraId="44FA1347" w14:textId="77777777" w:rsidR="00405DCF" w:rsidRPr="00FC2A2D" w:rsidRDefault="00405DCF" w:rsidP="00405DCF">
      <w:pPr>
        <w:pStyle w:val="FootnoteText"/>
        <w:rPr>
          <w:sz w:val="18"/>
          <w:szCs w:val="18"/>
        </w:rPr>
      </w:pPr>
      <w:r w:rsidRPr="00FC2A2D">
        <w:rPr>
          <w:rStyle w:val="FootnoteReference"/>
          <w:sz w:val="18"/>
          <w:szCs w:val="18"/>
        </w:rPr>
        <w:footnoteRef/>
      </w:r>
      <w:r w:rsidRPr="00FC2A2D">
        <w:rPr>
          <w:sz w:val="18"/>
          <w:szCs w:val="18"/>
        </w:rPr>
        <w:t xml:space="preserve"> Article 17, 1992 law</w:t>
      </w:r>
    </w:p>
  </w:footnote>
  <w:footnote w:id="21">
    <w:p w14:paraId="48C2738B" w14:textId="77777777" w:rsidR="00405DCF" w:rsidRPr="00FC2A2D" w:rsidRDefault="00405DCF" w:rsidP="00405DCF">
      <w:pPr>
        <w:pStyle w:val="FootnoteText"/>
        <w:rPr>
          <w:sz w:val="18"/>
          <w:szCs w:val="18"/>
        </w:rPr>
      </w:pPr>
      <w:r w:rsidRPr="00FC2A2D">
        <w:rPr>
          <w:rStyle w:val="FootnoteReference"/>
          <w:sz w:val="18"/>
          <w:szCs w:val="18"/>
        </w:rPr>
        <w:footnoteRef/>
      </w:r>
      <w:r w:rsidRPr="00FC2A2D">
        <w:rPr>
          <w:sz w:val="18"/>
          <w:szCs w:val="18"/>
        </w:rPr>
        <w:t xml:space="preserve"> Article 18, 1992 law</w:t>
      </w:r>
    </w:p>
  </w:footnote>
  <w:footnote w:id="22">
    <w:p w14:paraId="114650C0" w14:textId="77777777" w:rsidR="00405DCF" w:rsidRPr="00FC2A2D" w:rsidRDefault="00405DCF" w:rsidP="00405DCF">
      <w:pPr>
        <w:pStyle w:val="FootnoteText"/>
        <w:rPr>
          <w:sz w:val="18"/>
          <w:szCs w:val="18"/>
        </w:rPr>
      </w:pPr>
      <w:r w:rsidRPr="00FC2A2D">
        <w:rPr>
          <w:rStyle w:val="FootnoteReference"/>
          <w:sz w:val="18"/>
          <w:szCs w:val="18"/>
        </w:rPr>
        <w:footnoteRef/>
      </w:r>
      <w:r w:rsidRPr="00FC2A2D">
        <w:rPr>
          <w:sz w:val="18"/>
          <w:szCs w:val="18"/>
        </w:rPr>
        <w:t xml:space="preserve"> Article 35, 1992 law</w:t>
      </w:r>
    </w:p>
  </w:footnote>
  <w:footnote w:id="23">
    <w:p w14:paraId="51949F67" w14:textId="77777777" w:rsidR="00405DCF" w:rsidRPr="00FC2A2D" w:rsidRDefault="00405DCF" w:rsidP="00405DCF">
      <w:pPr>
        <w:pStyle w:val="FootnoteText"/>
        <w:rPr>
          <w:sz w:val="18"/>
          <w:szCs w:val="18"/>
        </w:rPr>
      </w:pPr>
      <w:r w:rsidRPr="00FC2A2D">
        <w:rPr>
          <w:rStyle w:val="FootnoteReference"/>
          <w:sz w:val="18"/>
          <w:szCs w:val="18"/>
        </w:rPr>
        <w:footnoteRef/>
      </w:r>
      <w:r w:rsidRPr="00FC2A2D">
        <w:rPr>
          <w:sz w:val="18"/>
          <w:szCs w:val="18"/>
        </w:rPr>
        <w:t xml:space="preserve"> Article 56(1), 1992 law</w:t>
      </w:r>
    </w:p>
  </w:footnote>
  <w:footnote w:id="24">
    <w:p w14:paraId="4DB42176" w14:textId="77777777" w:rsidR="00405DCF" w:rsidRPr="00FC2A2D" w:rsidRDefault="00405DCF" w:rsidP="00405DCF">
      <w:pPr>
        <w:pStyle w:val="FootnoteText"/>
        <w:rPr>
          <w:sz w:val="18"/>
          <w:szCs w:val="18"/>
        </w:rPr>
      </w:pPr>
      <w:r w:rsidRPr="00FC2A2D">
        <w:rPr>
          <w:rStyle w:val="FootnoteReference"/>
          <w:sz w:val="18"/>
          <w:szCs w:val="18"/>
        </w:rPr>
        <w:footnoteRef/>
      </w:r>
      <w:r w:rsidRPr="00FC2A2D">
        <w:rPr>
          <w:sz w:val="18"/>
          <w:szCs w:val="18"/>
        </w:rPr>
        <w:t xml:space="preserve"> Article 56(2), 1992 law</w:t>
      </w:r>
    </w:p>
  </w:footnote>
  <w:footnote w:id="25">
    <w:p w14:paraId="4944D058" w14:textId="77777777" w:rsidR="00571B40" w:rsidRPr="00EB3C76" w:rsidRDefault="00571B40" w:rsidP="00571B40">
      <w:pPr>
        <w:pStyle w:val="FootnoteText"/>
        <w:rPr>
          <w:sz w:val="18"/>
          <w:szCs w:val="18"/>
        </w:rPr>
      </w:pPr>
      <w:r w:rsidRPr="00FC2A2D">
        <w:rPr>
          <w:rStyle w:val="FootnoteReference"/>
          <w:sz w:val="18"/>
          <w:szCs w:val="18"/>
        </w:rPr>
        <w:footnoteRef/>
      </w:r>
      <w:r w:rsidRPr="00EB3C76">
        <w:rPr>
          <w:sz w:val="18"/>
          <w:szCs w:val="18"/>
        </w:rPr>
        <w:t xml:space="preserve"> </w:t>
      </w:r>
      <w:proofErr w:type="gramStart"/>
      <w:r w:rsidRPr="00EB3C76">
        <w:rPr>
          <w:sz w:val="18"/>
          <w:szCs w:val="18"/>
        </w:rPr>
        <w:t>Saeimās vēlēšanu oficiālie rezultāti.</w:t>
      </w:r>
      <w:proofErr w:type="gramEnd"/>
      <w:r w:rsidRPr="00EB3C76">
        <w:rPr>
          <w:sz w:val="18"/>
          <w:szCs w:val="18"/>
        </w:rPr>
        <w:t xml:space="preserve"> </w:t>
      </w:r>
      <w:proofErr w:type="gramStart"/>
      <w:r w:rsidRPr="00EB3C76">
        <w:rPr>
          <w:sz w:val="18"/>
          <w:szCs w:val="18"/>
        </w:rPr>
        <w:t>II dala.</w:t>
      </w:r>
      <w:proofErr w:type="gramEnd"/>
      <w:r w:rsidRPr="00EB3C76">
        <w:rPr>
          <w:sz w:val="18"/>
          <w:szCs w:val="18"/>
        </w:rPr>
        <w:t xml:space="preserve"> Mandātu skaitu sadalíjums starp sarakstiem F-18-31 (Riga: Latvijas Republikas Centralas velesanu komisjas pasutijums, 1993) </w:t>
      </w:r>
    </w:p>
  </w:footnote>
  <w:footnote w:id="26">
    <w:p w14:paraId="6FF991A3"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Latvijas Repblikas 6. Saeima = the 6</w:t>
      </w:r>
      <w:r w:rsidRPr="00FC2A2D">
        <w:rPr>
          <w:sz w:val="18"/>
          <w:szCs w:val="18"/>
          <w:vertAlign w:val="superscript"/>
        </w:rPr>
        <w:t>th</w:t>
      </w:r>
      <w:r w:rsidRPr="00FC2A2D">
        <w:rPr>
          <w:sz w:val="18"/>
          <w:szCs w:val="18"/>
        </w:rPr>
        <w:t xml:space="preserve"> Saeima (parliament) of the republic of Latvia (Riga: Saeimas Kancelja pasūtíjums, 1996), 49-98. The range in district magnitude is confirmed on  p. 19 as 14-27</w:t>
      </w:r>
    </w:p>
  </w:footnote>
  <w:footnote w:id="27">
    <w:p w14:paraId="545519F7" w14:textId="77777777" w:rsidR="00571B40" w:rsidRPr="00FC2A2D" w:rsidRDefault="00571B40" w:rsidP="00571B40">
      <w:pPr>
        <w:rPr>
          <w:sz w:val="18"/>
          <w:szCs w:val="18"/>
        </w:rPr>
      </w:pPr>
      <w:r w:rsidRPr="00FC2A2D">
        <w:rPr>
          <w:rStyle w:val="FootnoteReference"/>
          <w:sz w:val="18"/>
          <w:szCs w:val="18"/>
        </w:rPr>
        <w:footnoteRef/>
      </w:r>
      <w:hyperlink r:id="rId3" w:tooltip="Centrālā vēlēšanu komisija" w:history="1">
        <w:r w:rsidRPr="00FC2A2D">
          <w:rPr>
            <w:rStyle w:val="Hyperlink"/>
            <w:sz w:val="18"/>
            <w:szCs w:val="18"/>
          </w:rPr>
          <w:t>Centrālā vēlēšanu komisija</w:t>
        </w:r>
      </w:hyperlink>
      <w:r w:rsidRPr="00FC2A2D">
        <w:rPr>
          <w:sz w:val="18"/>
          <w:szCs w:val="18"/>
        </w:rPr>
        <w:t xml:space="preserve"> (Central Electoral Commission)  </w:t>
      </w:r>
    </w:p>
    <w:p w14:paraId="5FD20D64" w14:textId="77777777" w:rsidR="00571B40" w:rsidRPr="00FC2A2D" w:rsidRDefault="005464F8" w:rsidP="00571B40">
      <w:pPr>
        <w:rPr>
          <w:sz w:val="18"/>
          <w:szCs w:val="18"/>
        </w:rPr>
      </w:pPr>
      <w:hyperlink r:id="rId4" w:history="1">
        <w:r w:rsidR="00571B40" w:rsidRPr="00FC2A2D">
          <w:rPr>
            <w:rStyle w:val="Hyperlink"/>
            <w:sz w:val="18"/>
            <w:szCs w:val="18"/>
          </w:rPr>
          <w:t>http://www.cvk.lv/cgi-bin/wdbcgiw/base/base.vel7.sa3</w:t>
        </w:r>
      </w:hyperlink>
      <w:r w:rsidR="00571B40" w:rsidRPr="00FC2A2D">
        <w:rPr>
          <w:sz w:val="18"/>
          <w:szCs w:val="18"/>
        </w:rPr>
        <w:t xml:space="preserve"> </w:t>
      </w:r>
    </w:p>
  </w:footnote>
  <w:footnote w:id="28">
    <w:p w14:paraId="1858AE6A"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Central Electoral Commission  </w:t>
      </w:r>
      <w:hyperlink r:id="rId5" w:history="1">
        <w:r w:rsidRPr="00FC2A2D">
          <w:rPr>
            <w:rStyle w:val="Hyperlink"/>
            <w:sz w:val="18"/>
            <w:szCs w:val="18"/>
            <w:lang w:val="sr-Cyrl-CS"/>
          </w:rPr>
          <w:t>http://web.cvk.lv/pub/public/28965.html</w:t>
        </w:r>
      </w:hyperlink>
    </w:p>
  </w:footnote>
  <w:footnote w:id="29">
    <w:p w14:paraId="1D27E05E" w14:textId="77777777" w:rsidR="00571B40" w:rsidRPr="00FC2A2D" w:rsidRDefault="00571B40" w:rsidP="00571B40">
      <w:pPr>
        <w:rPr>
          <w:sz w:val="18"/>
          <w:szCs w:val="18"/>
        </w:rPr>
      </w:pPr>
      <w:r w:rsidRPr="00FC2A2D">
        <w:rPr>
          <w:rStyle w:val="FootnoteReference"/>
          <w:sz w:val="18"/>
          <w:szCs w:val="18"/>
        </w:rPr>
        <w:footnoteRef/>
      </w:r>
      <w:r w:rsidRPr="00FC2A2D">
        <w:rPr>
          <w:sz w:val="18"/>
          <w:szCs w:val="18"/>
        </w:rPr>
        <w:t xml:space="preserve"> Central Electoral Commission  </w:t>
      </w:r>
      <w:hyperlink r:id="rId6" w:history="1">
        <w:r w:rsidRPr="00FC2A2D">
          <w:rPr>
            <w:rStyle w:val="Hyperlink"/>
            <w:sz w:val="18"/>
            <w:szCs w:val="18"/>
          </w:rPr>
          <w:t>http://www.cvk.lv/cgi-bin/wdbcgiw/base/saeima9.GalRezS9.vis</w:t>
        </w:r>
      </w:hyperlink>
      <w:r w:rsidRPr="00FC2A2D">
        <w:rPr>
          <w:sz w:val="18"/>
          <w:szCs w:val="18"/>
        </w:rPr>
        <w:t xml:space="preserve"> </w:t>
      </w:r>
    </w:p>
  </w:footnote>
  <w:footnote w:id="30">
    <w:p w14:paraId="1DD7310B" w14:textId="77777777" w:rsidR="00571B40" w:rsidRPr="00FC2A2D" w:rsidRDefault="00571B40" w:rsidP="00571B40">
      <w:pPr>
        <w:rPr>
          <w:sz w:val="18"/>
          <w:szCs w:val="18"/>
        </w:rPr>
      </w:pPr>
      <w:r w:rsidRPr="00FC2A2D">
        <w:rPr>
          <w:rStyle w:val="FootnoteReference"/>
          <w:sz w:val="18"/>
          <w:szCs w:val="18"/>
        </w:rPr>
        <w:footnoteRef/>
      </w:r>
      <w:r w:rsidRPr="00FC2A2D">
        <w:rPr>
          <w:sz w:val="18"/>
          <w:szCs w:val="18"/>
        </w:rPr>
        <w:t xml:space="preserve"> Central Electoral Commission </w:t>
      </w:r>
      <w:hyperlink r:id="rId7" w:history="1">
        <w:r w:rsidRPr="00FC2A2D">
          <w:rPr>
            <w:rStyle w:val="Hyperlink"/>
            <w:sz w:val="18"/>
            <w:szCs w:val="18"/>
          </w:rPr>
          <w:t>http://web.cvk.lv/pub/public/29780.html</w:t>
        </w:r>
      </w:hyperlink>
      <w:r w:rsidRPr="00FC2A2D">
        <w:rPr>
          <w:sz w:val="18"/>
          <w:szCs w:val="18"/>
        </w:rPr>
        <w:t xml:space="preserve"> </w:t>
      </w:r>
    </w:p>
  </w:footnote>
  <w:footnote w:id="31">
    <w:p w14:paraId="638143FE"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Central Electoral Commission </w:t>
      </w:r>
      <w:hyperlink r:id="rId8" w:history="1">
        <w:r w:rsidRPr="00FC2A2D">
          <w:rPr>
            <w:rStyle w:val="Hyperlink"/>
            <w:sz w:val="18"/>
            <w:szCs w:val="18"/>
          </w:rPr>
          <w:t>http://web.cvk.lv/pub/public/30063.html</w:t>
        </w:r>
      </w:hyperlink>
      <w:r w:rsidRPr="00FC2A2D">
        <w:rPr>
          <w:sz w:val="18"/>
          <w:szCs w:val="18"/>
        </w:rPr>
        <w:t xml:space="preserve"> </w:t>
      </w:r>
    </w:p>
  </w:footnote>
  <w:footnote w:id="32">
    <w:p w14:paraId="2CCB271F"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According to Article 1 of the 1995 law and this remains in force at time of writing, June 30 2011</w:t>
      </w:r>
    </w:p>
  </w:footnote>
  <w:footnote w:id="33">
    <w:p w14:paraId="08A8A768"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59-67, 1992 law</w:t>
      </w:r>
    </w:p>
  </w:footnote>
  <w:footnote w:id="34">
    <w:p w14:paraId="492AFDC6"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21, 1992 law</w:t>
      </w:r>
    </w:p>
  </w:footnote>
  <w:footnote w:id="35">
    <w:p w14:paraId="1156693A"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5(5-6), 1995 law</w:t>
      </w:r>
    </w:p>
  </w:footnote>
  <w:footnote w:id="36">
    <w:p w14:paraId="3B0F96CF"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19, 1992 law</w:t>
      </w:r>
    </w:p>
  </w:footnote>
  <w:footnote w:id="37">
    <w:p w14:paraId="60195AA4"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21, 1992 law</w:t>
      </w:r>
    </w:p>
  </w:footnote>
  <w:footnote w:id="38">
    <w:p w14:paraId="47B71E71"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57, 1992 law</w:t>
      </w:r>
    </w:p>
  </w:footnote>
  <w:footnote w:id="39">
    <w:p w14:paraId="5717BF39"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58, 1992 law</w:t>
      </w:r>
    </w:p>
  </w:footnote>
  <w:footnote w:id="40">
    <w:p w14:paraId="450FD64F"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3, 1995 law</w:t>
      </w:r>
    </w:p>
  </w:footnote>
  <w:footnote w:id="41">
    <w:p w14:paraId="0B9D5E0F"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38, 1995 law</w:t>
      </w:r>
    </w:p>
  </w:footnote>
  <w:footnote w:id="42">
    <w:p w14:paraId="2F2E1242"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13 (5-7), April 1998 </w:t>
      </w:r>
      <w:proofErr w:type="gramStart"/>
      <w:r w:rsidRPr="00FC2A2D">
        <w:rPr>
          <w:sz w:val="18"/>
          <w:szCs w:val="18"/>
        </w:rPr>
        <w:t>amendment</w:t>
      </w:r>
      <w:proofErr w:type="gramEnd"/>
      <w:r w:rsidRPr="00FC2A2D">
        <w:rPr>
          <w:sz w:val="18"/>
          <w:szCs w:val="18"/>
        </w:rPr>
        <w:t xml:space="preserve"> to 1995 law.</w:t>
      </w:r>
    </w:p>
  </w:footnote>
  <w:footnote w:id="43">
    <w:p w14:paraId="157F3948"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May 2002 amendment, deleting Articles 5(7), 11(5) and Article 13(7)</w:t>
      </w:r>
    </w:p>
  </w:footnote>
  <w:footnote w:id="44">
    <w:p w14:paraId="4CC547B0"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11(</w:t>
      </w:r>
      <w:smartTag w:uri="urn:schemas-microsoft-com:office:smarttags" w:element="metricconverter">
        <w:smartTagPr>
          <w:attr w:name="ProductID" w:val="4 g"/>
        </w:smartTagPr>
        <w:r w:rsidRPr="00FC2A2D">
          <w:rPr>
            <w:sz w:val="18"/>
            <w:szCs w:val="18"/>
          </w:rPr>
          <w:t>4 g</w:t>
        </w:r>
      </w:smartTag>
      <w:r w:rsidRPr="00FC2A2D">
        <w:rPr>
          <w:sz w:val="18"/>
          <w:szCs w:val="18"/>
        </w:rPr>
        <w:t xml:space="preserve">), May 2002 amendment. </w:t>
      </w:r>
    </w:p>
  </w:footnote>
  <w:footnote w:id="45">
    <w:p w14:paraId="475BFE2F"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See Article 14, 1995 law.</w:t>
      </w:r>
    </w:p>
  </w:footnote>
  <w:footnote w:id="46">
    <w:p w14:paraId="2F332359"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15, 1995 law</w:t>
      </w:r>
    </w:p>
  </w:footnote>
  <w:footnote w:id="47">
    <w:p w14:paraId="57DFD1BE"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w:t>
      </w:r>
      <w:proofErr w:type="gramStart"/>
      <w:r w:rsidRPr="00FC2A2D">
        <w:rPr>
          <w:sz w:val="18"/>
          <w:szCs w:val="18"/>
        </w:rPr>
        <w:t>Article 2, 1995 law, as also in Article 3, 1992 law.</w:t>
      </w:r>
      <w:proofErr w:type="gramEnd"/>
    </w:p>
  </w:footnote>
  <w:footnote w:id="48">
    <w:p w14:paraId="407E39A5" w14:textId="77777777" w:rsidR="00571B40" w:rsidRPr="00FC2A2D" w:rsidRDefault="00571B40" w:rsidP="00571B40">
      <w:pPr>
        <w:rPr>
          <w:sz w:val="18"/>
          <w:szCs w:val="18"/>
        </w:rPr>
      </w:pPr>
      <w:r w:rsidRPr="00FC2A2D">
        <w:rPr>
          <w:rStyle w:val="FootnoteReference"/>
          <w:sz w:val="18"/>
          <w:szCs w:val="18"/>
        </w:rPr>
        <w:footnoteRef/>
      </w:r>
      <w:r w:rsidRPr="00FC2A2D">
        <w:rPr>
          <w:sz w:val="18"/>
          <w:szCs w:val="18"/>
        </w:rPr>
        <w:t xml:space="preserve"> [Constitutional Court Judgment, 6.03.2003] On Compliance of Paragraph 2, Article 2 of the Saeima Election Law with Article 6, 8 and 91 of the </w:t>
      </w:r>
      <w:r w:rsidRPr="00FC2A2D">
        <w:rPr>
          <w:rStyle w:val="Strong"/>
          <w:b w:val="0"/>
          <w:i/>
          <w:sz w:val="18"/>
          <w:szCs w:val="18"/>
        </w:rPr>
        <w:t>Constitution of the Republic of Latvia</w:t>
      </w:r>
      <w:r w:rsidRPr="00FC2A2D">
        <w:rPr>
          <w:rStyle w:val="Strong"/>
          <w:b w:val="0"/>
          <w:sz w:val="18"/>
          <w:szCs w:val="18"/>
        </w:rPr>
        <w:t xml:space="preserve"> </w:t>
      </w:r>
      <w:hyperlink r:id="rId9" w:history="1">
        <w:r w:rsidRPr="00FC2A2D">
          <w:rPr>
            <w:rStyle w:val="Hyperlink"/>
            <w:sz w:val="18"/>
            <w:szCs w:val="18"/>
          </w:rPr>
          <w:t>http://www.likumi.lv/doc.php?id=72099</w:t>
        </w:r>
      </w:hyperlink>
    </w:p>
  </w:footnote>
  <w:footnote w:id="49">
    <w:p w14:paraId="45763DB1"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85, The Latvian Constitution, 21.03.1933, as amended 3.05.2007</w:t>
      </w:r>
    </w:p>
  </w:footnote>
  <w:footnote w:id="50">
    <w:p w14:paraId="64298577"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10(2), April 2006 amendment to the 1995 law</w:t>
      </w:r>
    </w:p>
  </w:footnote>
  <w:footnote w:id="51">
    <w:p w14:paraId="27F22217"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Articles 52 and 54, April 2006 amendment to the 1995 law</w:t>
      </w:r>
    </w:p>
  </w:footnote>
  <w:footnote w:id="52">
    <w:p w14:paraId="0F128980"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51, April 2006 amendment to the 1995 law</w:t>
      </w:r>
    </w:p>
  </w:footnote>
  <w:footnote w:id="53">
    <w:p w14:paraId="5531AF5E"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European Court of Human Rights, Grand Chamber judgment, 58278/00, 16.03.2006</w:t>
      </w:r>
    </w:p>
  </w:footnote>
  <w:footnote w:id="54">
    <w:p w14:paraId="6E218801"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w:t>
      </w:r>
      <w:proofErr w:type="gramStart"/>
      <w:r w:rsidRPr="00FC2A2D">
        <w:rPr>
          <w:sz w:val="18"/>
          <w:szCs w:val="18"/>
        </w:rPr>
        <w:t>European Court of Human Rights, Grand Chamber judgment, 58278/00, 16.03.2006, para.</w:t>
      </w:r>
      <w:proofErr w:type="gramEnd"/>
      <w:r w:rsidRPr="00FC2A2D">
        <w:rPr>
          <w:sz w:val="18"/>
          <w:szCs w:val="18"/>
        </w:rPr>
        <w:t xml:space="preserve"> 73.</w:t>
      </w:r>
    </w:p>
  </w:footnote>
  <w:footnote w:id="55">
    <w:p w14:paraId="176B8CEC"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w:t>
      </w:r>
      <w:proofErr w:type="gramStart"/>
      <w:r w:rsidRPr="00FC2A2D">
        <w:rPr>
          <w:sz w:val="18"/>
          <w:szCs w:val="18"/>
        </w:rPr>
        <w:t>European Court of Human Rights, Grand Chamber judgment, 58278/00, 16.03.2006, para.</w:t>
      </w:r>
      <w:proofErr w:type="gramEnd"/>
      <w:r w:rsidRPr="00FC2A2D">
        <w:rPr>
          <w:sz w:val="18"/>
          <w:szCs w:val="18"/>
        </w:rPr>
        <w:t xml:space="preserve"> 132.</w:t>
      </w:r>
    </w:p>
  </w:footnote>
  <w:footnote w:id="56">
    <w:p w14:paraId="1409E545"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10(3), April 2009 amendment to the 1995 law</w:t>
      </w:r>
    </w:p>
  </w:footnote>
  <w:footnote w:id="57">
    <w:p w14:paraId="5AAD4FFF" w14:textId="77777777" w:rsidR="00571B40" w:rsidRPr="00FC2A2D" w:rsidRDefault="00571B40" w:rsidP="00571B40">
      <w:pPr>
        <w:pStyle w:val="FootnoteText"/>
        <w:rPr>
          <w:sz w:val="18"/>
          <w:szCs w:val="18"/>
        </w:rPr>
      </w:pPr>
      <w:r w:rsidRPr="00FC2A2D">
        <w:rPr>
          <w:rStyle w:val="FootnoteReference"/>
          <w:sz w:val="18"/>
          <w:szCs w:val="18"/>
        </w:rPr>
        <w:footnoteRef/>
      </w:r>
      <w:r w:rsidRPr="00FC2A2D">
        <w:rPr>
          <w:sz w:val="18"/>
          <w:szCs w:val="18"/>
        </w:rPr>
        <w:t xml:space="preserve"> Article 3, 1995 law (at time of writing, 5 July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AA6E17" w:rsidRDefault="00AA6E17">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831"/>
    <w:multiLevelType w:val="hybridMultilevel"/>
    <w:tmpl w:val="5A00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2">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2D805086"/>
    <w:multiLevelType w:val="hybridMultilevel"/>
    <w:tmpl w:val="3328E7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6">
    <w:nsid w:val="3A7F4908"/>
    <w:multiLevelType w:val="hybridMultilevel"/>
    <w:tmpl w:val="F44C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7"/>
  </w:num>
  <w:num w:numId="2">
    <w:abstractNumId w:val="3"/>
  </w:num>
  <w:num w:numId="3">
    <w:abstractNumId w:val="9"/>
  </w:num>
  <w:num w:numId="4">
    <w:abstractNumId w:val="1"/>
  </w:num>
  <w:num w:numId="5">
    <w:abstractNumId w:val="5"/>
  </w:num>
  <w:num w:numId="6">
    <w:abstractNumId w:val="8"/>
  </w:num>
  <w:num w:numId="7">
    <w:abstractNumId w:val="2"/>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embedSystemFonts/>
  <w:proofState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34CA9"/>
    <w:rsid w:val="0005588E"/>
    <w:rsid w:val="00062BD3"/>
    <w:rsid w:val="00065822"/>
    <w:rsid w:val="0007742D"/>
    <w:rsid w:val="00087C13"/>
    <w:rsid w:val="0009499D"/>
    <w:rsid w:val="000B296D"/>
    <w:rsid w:val="000B3D6D"/>
    <w:rsid w:val="000B49CB"/>
    <w:rsid w:val="000C14E2"/>
    <w:rsid w:val="000E3372"/>
    <w:rsid w:val="0010025F"/>
    <w:rsid w:val="001014DA"/>
    <w:rsid w:val="00136DE3"/>
    <w:rsid w:val="00141652"/>
    <w:rsid w:val="00150A1F"/>
    <w:rsid w:val="00160165"/>
    <w:rsid w:val="00183654"/>
    <w:rsid w:val="00186F6C"/>
    <w:rsid w:val="001A13F6"/>
    <w:rsid w:val="001A71DD"/>
    <w:rsid w:val="001C33D1"/>
    <w:rsid w:val="001C657F"/>
    <w:rsid w:val="001D3DE5"/>
    <w:rsid w:val="001D65E0"/>
    <w:rsid w:val="001E3485"/>
    <w:rsid w:val="00200968"/>
    <w:rsid w:val="00201285"/>
    <w:rsid w:val="00206CF3"/>
    <w:rsid w:val="002225EC"/>
    <w:rsid w:val="002310D6"/>
    <w:rsid w:val="00260240"/>
    <w:rsid w:val="0027144E"/>
    <w:rsid w:val="0028075B"/>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92007"/>
    <w:rsid w:val="003A3A69"/>
    <w:rsid w:val="003A4077"/>
    <w:rsid w:val="003B62E1"/>
    <w:rsid w:val="003D287A"/>
    <w:rsid w:val="003D3736"/>
    <w:rsid w:val="003F05F2"/>
    <w:rsid w:val="003F7E26"/>
    <w:rsid w:val="00405DCF"/>
    <w:rsid w:val="00423587"/>
    <w:rsid w:val="004237C3"/>
    <w:rsid w:val="0042487F"/>
    <w:rsid w:val="00435243"/>
    <w:rsid w:val="00445D0E"/>
    <w:rsid w:val="00452432"/>
    <w:rsid w:val="004648CB"/>
    <w:rsid w:val="00466E9F"/>
    <w:rsid w:val="00472016"/>
    <w:rsid w:val="004947FF"/>
    <w:rsid w:val="004B4631"/>
    <w:rsid w:val="004B7E51"/>
    <w:rsid w:val="004D6244"/>
    <w:rsid w:val="004D6645"/>
    <w:rsid w:val="004E747F"/>
    <w:rsid w:val="00500A29"/>
    <w:rsid w:val="00504C2F"/>
    <w:rsid w:val="00527FF2"/>
    <w:rsid w:val="005422FB"/>
    <w:rsid w:val="005425E8"/>
    <w:rsid w:val="00545235"/>
    <w:rsid w:val="00545DBD"/>
    <w:rsid w:val="005464F8"/>
    <w:rsid w:val="0057073F"/>
    <w:rsid w:val="00571B40"/>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17DB"/>
    <w:rsid w:val="006948C2"/>
    <w:rsid w:val="006A7F7A"/>
    <w:rsid w:val="006B5B0F"/>
    <w:rsid w:val="006D1B52"/>
    <w:rsid w:val="006D339D"/>
    <w:rsid w:val="006D6832"/>
    <w:rsid w:val="006E3F4A"/>
    <w:rsid w:val="006F286B"/>
    <w:rsid w:val="006F6288"/>
    <w:rsid w:val="00724D7B"/>
    <w:rsid w:val="007418C9"/>
    <w:rsid w:val="00747298"/>
    <w:rsid w:val="00760B50"/>
    <w:rsid w:val="007614A7"/>
    <w:rsid w:val="007666F5"/>
    <w:rsid w:val="007839D0"/>
    <w:rsid w:val="00791A7F"/>
    <w:rsid w:val="007B0D23"/>
    <w:rsid w:val="007C0E61"/>
    <w:rsid w:val="007C797D"/>
    <w:rsid w:val="007D2AA7"/>
    <w:rsid w:val="007F5BB5"/>
    <w:rsid w:val="008020EF"/>
    <w:rsid w:val="00823828"/>
    <w:rsid w:val="00824B26"/>
    <w:rsid w:val="0082607F"/>
    <w:rsid w:val="00827F7B"/>
    <w:rsid w:val="00851EF3"/>
    <w:rsid w:val="0087388B"/>
    <w:rsid w:val="00874956"/>
    <w:rsid w:val="00890480"/>
    <w:rsid w:val="0089575A"/>
    <w:rsid w:val="008B0507"/>
    <w:rsid w:val="008D1C1E"/>
    <w:rsid w:val="008D3B02"/>
    <w:rsid w:val="008D6763"/>
    <w:rsid w:val="008D772E"/>
    <w:rsid w:val="008E0298"/>
    <w:rsid w:val="008E1D27"/>
    <w:rsid w:val="008F2F3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30CEC"/>
    <w:rsid w:val="00A33F49"/>
    <w:rsid w:val="00A35E28"/>
    <w:rsid w:val="00A4150A"/>
    <w:rsid w:val="00A416CD"/>
    <w:rsid w:val="00A51466"/>
    <w:rsid w:val="00A722BE"/>
    <w:rsid w:val="00A750DC"/>
    <w:rsid w:val="00A90239"/>
    <w:rsid w:val="00A97617"/>
    <w:rsid w:val="00AA6E17"/>
    <w:rsid w:val="00AC3B6D"/>
    <w:rsid w:val="00AC472D"/>
    <w:rsid w:val="00AC6716"/>
    <w:rsid w:val="00AC7FD2"/>
    <w:rsid w:val="00AD122E"/>
    <w:rsid w:val="00AE2D84"/>
    <w:rsid w:val="00B14321"/>
    <w:rsid w:val="00B22915"/>
    <w:rsid w:val="00B32864"/>
    <w:rsid w:val="00B357B2"/>
    <w:rsid w:val="00B45397"/>
    <w:rsid w:val="00B564C3"/>
    <w:rsid w:val="00B61C7D"/>
    <w:rsid w:val="00B661CA"/>
    <w:rsid w:val="00B84F13"/>
    <w:rsid w:val="00B85673"/>
    <w:rsid w:val="00BA1B93"/>
    <w:rsid w:val="00BD6621"/>
    <w:rsid w:val="00BE6389"/>
    <w:rsid w:val="00BF06DC"/>
    <w:rsid w:val="00BF146D"/>
    <w:rsid w:val="00C049A9"/>
    <w:rsid w:val="00C26586"/>
    <w:rsid w:val="00C36E5F"/>
    <w:rsid w:val="00C4010C"/>
    <w:rsid w:val="00C54547"/>
    <w:rsid w:val="00C80283"/>
    <w:rsid w:val="00C94044"/>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C61EA"/>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B3C76"/>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styleId="Strong">
    <w:name w:val="Strong"/>
    <w:basedOn w:val="DefaultParagraphFont"/>
    <w:qFormat/>
    <w:locked/>
    <w:rsid w:val="00571B4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footnote reference"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character" w:styleId="Strong">
    <w:name w:val="Strong"/>
    <w:basedOn w:val="DefaultParagraphFont"/>
    <w:qFormat/>
    <w:locked/>
    <w:rsid w:val="00571B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595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likumi.lv/doc.php?id=66524&amp;from=off" TargetMode="External"/><Relationship Id="rId26" Type="http://schemas.openxmlformats.org/officeDocument/2006/relationships/hyperlink" Target="http://www.likumi.lv/doc.php?id=78771" TargetMode="External"/><Relationship Id="rId3" Type="http://schemas.openxmlformats.org/officeDocument/2006/relationships/styles" Target="styles.xml"/><Relationship Id="rId21" Type="http://schemas.openxmlformats.org/officeDocument/2006/relationships/hyperlink" Target="http://www.likumi.lv/doc.php?id=47584" TargetMode="External"/><Relationship Id="rId34" Type="http://schemas.openxmlformats.org/officeDocument/2006/relationships/hyperlink" Target="http://www.likumi.lv/doc.php?id=227548"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bestpravo.ru/ussr/data01/tex11440.htm" TargetMode="External"/><Relationship Id="rId25" Type="http://schemas.openxmlformats.org/officeDocument/2006/relationships/hyperlink" Target="http://www.likumi.lv/doc.php?id=72099" TargetMode="External"/><Relationship Id="rId33" Type="http://schemas.openxmlformats.org/officeDocument/2006/relationships/hyperlink" Target="http://www.saeima.lv/en/about-saeima/saeimas-velesanas-1/saeimas-velesanu-likums-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likumi.lv/doc.php?id=35261&amp;version_date=07.06.1995" TargetMode="External"/><Relationship Id="rId29" Type="http://schemas.openxmlformats.org/officeDocument/2006/relationships/hyperlink" Target="http://www.satv.tiesa.gov.lv/upload/2005-13-0106E.rt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likumi.lv/doc.php?id=63177" TargetMode="External"/><Relationship Id="rId32" Type="http://schemas.openxmlformats.org/officeDocument/2006/relationships/hyperlink" Target="http://www.likumi.lv/doc.php?id=20827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likumi.lv/doc.php?id=62321" TargetMode="External"/><Relationship Id="rId28" Type="http://schemas.openxmlformats.org/officeDocument/2006/relationships/hyperlink" Target="http://www.likumi.lv/doc.php?id=133537"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2.essex.ac.uk/elect/database/legislationAll.asp?country=latvia&amp;legislation=lv92" TargetMode="External"/><Relationship Id="rId31" Type="http://schemas.openxmlformats.org/officeDocument/2006/relationships/hyperlink" Target="http://www.likumi.lv/doc.php?id=18930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likumi.lv/doc.php?id=48626" TargetMode="External"/><Relationship Id="rId27" Type="http://schemas.openxmlformats.org/officeDocument/2006/relationships/hyperlink" Target="http://www.likumi.lv/doc.php?id=131058" TargetMode="External"/><Relationship Id="rId30" Type="http://schemas.openxmlformats.org/officeDocument/2006/relationships/hyperlink" Target="http://www.likumi.lv/doc.php?id=158774" TargetMode="External"/><Relationship Id="rId35" Type="http://schemas.openxmlformats.org/officeDocument/2006/relationships/hyperlink" Target="http://www.irp.uni-trier.de/typo3/fileadmin/template/pdf/26_balodi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eb.cvk.lv/pub/public/30063.html" TargetMode="External"/><Relationship Id="rId3" Type="http://schemas.openxmlformats.org/officeDocument/2006/relationships/hyperlink" Target="http://web.cvk.lv/pub/public/27403.html" TargetMode="External"/><Relationship Id="rId7" Type="http://schemas.openxmlformats.org/officeDocument/2006/relationships/hyperlink" Target="http://web.cvk.lv/pub/public/29780.html" TargetMode="External"/><Relationship Id="rId2" Type="http://schemas.openxmlformats.org/officeDocument/2006/relationships/hyperlink" Target="http://www.likumi.lv/doc.php?id=66524&amp;from=off" TargetMode="External"/><Relationship Id="rId1" Type="http://schemas.openxmlformats.org/officeDocument/2006/relationships/hyperlink" Target="http://www.irp.uni-trier.de/typo3/fileadmin/template/pdf/26_balodis.pdf" TargetMode="External"/><Relationship Id="rId6" Type="http://schemas.openxmlformats.org/officeDocument/2006/relationships/hyperlink" Target="http://www.cvk.lv/cgi-bin/wdbcgiw/base/saeima9.GalRezS9.vis" TargetMode="External"/><Relationship Id="rId5" Type="http://schemas.openxmlformats.org/officeDocument/2006/relationships/hyperlink" Target="http://web.cvk.lv/pub/public/28965.html" TargetMode="External"/><Relationship Id="rId4" Type="http://schemas.openxmlformats.org/officeDocument/2006/relationships/hyperlink" Target="http://www.cvk.lv/cgi-bin/wdbcgiw/base/base.vel7.sa3" TargetMode="External"/><Relationship Id="rId9" Type="http://schemas.openxmlformats.org/officeDocument/2006/relationships/hyperlink" Target="http://www.likumi.lv/doc.php?id=720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2647C89-66A8-4EF3-BD77-470B6813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2747</Words>
  <Characters>15663</Characters>
  <Application>Microsoft Office Word</Application>
  <DocSecurity>0</DocSecurity>
  <Lines>130</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18374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2012-09-28T17:29:00Z</dcterms:created>
  <dcterms:modified xsi:type="dcterms:W3CDTF">2012-09-28T17:29:00Z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